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A1810" w14:textId="099179BE" w:rsidR="00056E2D" w:rsidRPr="00276AFE" w:rsidRDefault="00276AFE" w:rsidP="006F7189">
      <w:pPr>
        <w:pStyle w:val="Nadpis1"/>
        <w:spacing w:after="480" w:line="252" w:lineRule="auto"/>
        <w:jc w:val="both"/>
        <w:rPr>
          <w:rFonts w:asciiTheme="minorHAnsi" w:hAnsiTheme="minorHAnsi" w:cstheme="minorHAnsi"/>
          <w:b/>
          <w:bCs/>
          <w:color w:val="auto"/>
          <w:sz w:val="28"/>
          <w:szCs w:val="28"/>
        </w:rPr>
      </w:pPr>
      <w:r w:rsidRPr="00276AFE">
        <w:rPr>
          <w:rFonts w:asciiTheme="minorHAnsi" w:hAnsiTheme="minorHAnsi" w:cstheme="minorHAnsi"/>
          <w:b/>
          <w:bCs/>
          <w:color w:val="auto"/>
          <w:sz w:val="28"/>
          <w:szCs w:val="28"/>
        </w:rPr>
        <w:t xml:space="preserve">Příloha č. 2 </w:t>
      </w:r>
      <w:r w:rsidR="006F7189">
        <w:rPr>
          <w:rFonts w:asciiTheme="minorHAnsi" w:hAnsiTheme="minorHAnsi" w:cstheme="minorHAnsi"/>
          <w:b/>
          <w:bCs/>
          <w:color w:val="auto"/>
          <w:sz w:val="28"/>
          <w:szCs w:val="28"/>
        </w:rPr>
        <w:t>zadávací dokumentace</w:t>
      </w:r>
      <w:r w:rsidRPr="00276AFE">
        <w:rPr>
          <w:rFonts w:asciiTheme="minorHAnsi" w:hAnsiTheme="minorHAnsi" w:cstheme="minorHAnsi"/>
          <w:b/>
          <w:bCs/>
          <w:color w:val="auto"/>
          <w:sz w:val="28"/>
          <w:szCs w:val="28"/>
        </w:rPr>
        <w:t xml:space="preserve"> – </w:t>
      </w:r>
      <w:r w:rsidR="00F82704" w:rsidRPr="00276AFE">
        <w:rPr>
          <w:rFonts w:asciiTheme="minorHAnsi" w:hAnsiTheme="minorHAnsi" w:cstheme="minorHAnsi"/>
          <w:b/>
          <w:bCs/>
          <w:color w:val="auto"/>
          <w:sz w:val="28"/>
          <w:szCs w:val="28"/>
        </w:rPr>
        <w:t>Technick</w:t>
      </w:r>
      <w:r w:rsidR="00F82704">
        <w:rPr>
          <w:rFonts w:asciiTheme="minorHAnsi" w:hAnsiTheme="minorHAnsi" w:cstheme="minorHAnsi"/>
          <w:b/>
          <w:bCs/>
          <w:color w:val="auto"/>
          <w:sz w:val="28"/>
          <w:szCs w:val="28"/>
        </w:rPr>
        <w:t>á</w:t>
      </w:r>
      <w:r w:rsidR="00F82704" w:rsidRPr="00276AFE">
        <w:rPr>
          <w:rFonts w:asciiTheme="minorHAnsi" w:hAnsiTheme="minorHAnsi" w:cstheme="minorHAnsi"/>
          <w:b/>
          <w:bCs/>
          <w:color w:val="auto"/>
          <w:sz w:val="28"/>
          <w:szCs w:val="28"/>
        </w:rPr>
        <w:t xml:space="preserve"> </w:t>
      </w:r>
      <w:r w:rsidR="00F82704">
        <w:rPr>
          <w:rFonts w:asciiTheme="minorHAnsi" w:hAnsiTheme="minorHAnsi" w:cstheme="minorHAnsi"/>
          <w:b/>
          <w:bCs/>
          <w:color w:val="auto"/>
          <w:sz w:val="28"/>
          <w:szCs w:val="28"/>
        </w:rPr>
        <w:t>specifikace</w:t>
      </w:r>
    </w:p>
    <w:p w14:paraId="7BAFC4C8" w14:textId="6F040FF2" w:rsidR="00B3562A" w:rsidRPr="00B73DBD" w:rsidRDefault="005F3314" w:rsidP="00004579">
      <w:pPr>
        <w:pStyle w:val="Nadpis1"/>
        <w:spacing w:before="0" w:after="120" w:line="252" w:lineRule="auto"/>
        <w:jc w:val="center"/>
        <w:rPr>
          <w:rFonts w:asciiTheme="minorHAnsi" w:hAnsiTheme="minorHAnsi" w:cstheme="minorHAnsi"/>
          <w:b/>
          <w:bCs/>
          <w:color w:val="auto"/>
        </w:rPr>
      </w:pPr>
      <w:r w:rsidRPr="00B73DBD">
        <w:rPr>
          <w:rFonts w:asciiTheme="minorHAnsi" w:hAnsiTheme="minorHAnsi" w:cstheme="minorHAnsi"/>
          <w:b/>
          <w:bCs/>
          <w:color w:val="auto"/>
        </w:rPr>
        <w:t>Technické podmínky</w:t>
      </w:r>
      <w:r w:rsidR="00B3562A" w:rsidRPr="00B73DBD">
        <w:rPr>
          <w:rFonts w:asciiTheme="minorHAnsi" w:hAnsiTheme="minorHAnsi" w:cstheme="minorHAnsi"/>
          <w:b/>
          <w:bCs/>
          <w:color w:val="auto"/>
        </w:rPr>
        <w:t>, pravidla a pracovní postupy</w:t>
      </w:r>
    </w:p>
    <w:p w14:paraId="2D601977" w14:textId="77777777" w:rsidR="00B3562A" w:rsidRDefault="00B3562A" w:rsidP="00036000">
      <w:pPr>
        <w:pStyle w:val="Default"/>
        <w:spacing w:after="120" w:line="252" w:lineRule="auto"/>
        <w:jc w:val="both"/>
        <w:rPr>
          <w:rFonts w:asciiTheme="minorHAnsi" w:hAnsiTheme="minorHAnsi" w:cstheme="minorHAnsi"/>
          <w:sz w:val="20"/>
          <w:szCs w:val="20"/>
        </w:rPr>
      </w:pPr>
    </w:p>
    <w:p w14:paraId="1629C830" w14:textId="60F138C3" w:rsidR="00036000" w:rsidRDefault="00004579" w:rsidP="00036000">
      <w:pPr>
        <w:pStyle w:val="Default"/>
        <w:numPr>
          <w:ilvl w:val="0"/>
          <w:numId w:val="17"/>
        </w:numPr>
        <w:spacing w:after="120" w:line="252" w:lineRule="auto"/>
        <w:jc w:val="both"/>
        <w:rPr>
          <w:rFonts w:asciiTheme="minorHAnsi" w:hAnsiTheme="minorHAnsi" w:cstheme="minorHAnsi"/>
          <w:b/>
          <w:bCs/>
        </w:rPr>
      </w:pPr>
      <w:r>
        <w:rPr>
          <w:rFonts w:asciiTheme="minorHAnsi" w:hAnsiTheme="minorHAnsi" w:cstheme="minorHAnsi"/>
          <w:b/>
          <w:bCs/>
        </w:rPr>
        <w:t>Základní legislativní a t</w:t>
      </w:r>
      <w:r w:rsidR="00036000" w:rsidRPr="00036000">
        <w:rPr>
          <w:rFonts w:asciiTheme="minorHAnsi" w:hAnsiTheme="minorHAnsi" w:cstheme="minorHAnsi"/>
          <w:b/>
          <w:bCs/>
        </w:rPr>
        <w:t>ec</w:t>
      </w:r>
      <w:r w:rsidR="00E15D9A">
        <w:rPr>
          <w:rFonts w:asciiTheme="minorHAnsi" w:hAnsiTheme="minorHAnsi" w:cstheme="minorHAnsi"/>
          <w:b/>
          <w:bCs/>
        </w:rPr>
        <w:t>h</w:t>
      </w:r>
      <w:r w:rsidR="00036000" w:rsidRPr="00036000">
        <w:rPr>
          <w:rFonts w:asciiTheme="minorHAnsi" w:hAnsiTheme="minorHAnsi" w:cstheme="minorHAnsi"/>
          <w:b/>
          <w:bCs/>
        </w:rPr>
        <w:t>nické podmínky</w:t>
      </w:r>
    </w:p>
    <w:p w14:paraId="121C87C8" w14:textId="316F914C" w:rsidR="00E15D9A" w:rsidRPr="00E15D9A" w:rsidRDefault="00E15D9A" w:rsidP="00E15D9A">
      <w:pPr>
        <w:pStyle w:val="Default"/>
        <w:spacing w:after="120" w:line="252" w:lineRule="auto"/>
        <w:jc w:val="both"/>
        <w:rPr>
          <w:rFonts w:asciiTheme="minorHAnsi" w:hAnsiTheme="minorHAnsi" w:cstheme="minorHAnsi"/>
          <w:sz w:val="22"/>
          <w:szCs w:val="22"/>
        </w:rPr>
      </w:pPr>
      <w:r>
        <w:rPr>
          <w:rFonts w:asciiTheme="minorHAnsi" w:hAnsiTheme="minorHAnsi" w:cstheme="minorHAnsi"/>
          <w:sz w:val="22"/>
          <w:szCs w:val="22"/>
        </w:rPr>
        <w:t>Dodávky a p</w:t>
      </w:r>
      <w:r w:rsidRPr="00E15D9A">
        <w:rPr>
          <w:rFonts w:asciiTheme="minorHAnsi" w:hAnsiTheme="minorHAnsi" w:cstheme="minorHAnsi"/>
          <w:sz w:val="22"/>
          <w:szCs w:val="22"/>
        </w:rPr>
        <w:t>rojekční, realizační a montážní práce prováděné v rámci rozšíření stávajícího univerzálního kabelového systému (UKS) a datového rozvaděče (RACK) musí splňovat níže uvedené technické podmínky</w:t>
      </w:r>
      <w:r>
        <w:rPr>
          <w:rFonts w:asciiTheme="minorHAnsi" w:hAnsiTheme="minorHAnsi" w:cstheme="minorHAnsi"/>
          <w:sz w:val="22"/>
          <w:szCs w:val="22"/>
        </w:rPr>
        <w:t xml:space="preserve"> a požadavky:</w:t>
      </w:r>
    </w:p>
    <w:p w14:paraId="38B775B0" w14:textId="17DE6FFE" w:rsidR="00004579" w:rsidRPr="00004579" w:rsidRDefault="00004579" w:rsidP="00276AFE">
      <w:pPr>
        <w:numPr>
          <w:ilvl w:val="1"/>
          <w:numId w:val="12"/>
        </w:numPr>
        <w:spacing w:after="120" w:line="252" w:lineRule="auto"/>
        <w:ind w:left="426" w:hanging="426"/>
        <w:jc w:val="both"/>
        <w:rPr>
          <w:rFonts w:cs="Arial"/>
          <w:bCs/>
          <w:color w:val="000000"/>
        </w:rPr>
      </w:pPr>
      <w:r w:rsidRPr="00004579">
        <w:rPr>
          <w:rFonts w:cs="Arial"/>
          <w:bCs/>
          <w:color w:val="000000"/>
        </w:rPr>
        <w:t xml:space="preserve">Veškeré dodané a instalované komponenty musí být nové a nepoužité. </w:t>
      </w:r>
    </w:p>
    <w:p w14:paraId="11811102" w14:textId="29EC6371" w:rsidR="00036000" w:rsidRPr="00036000" w:rsidRDefault="00036000" w:rsidP="00276AFE">
      <w:pPr>
        <w:numPr>
          <w:ilvl w:val="1"/>
          <w:numId w:val="12"/>
        </w:numPr>
        <w:spacing w:after="120" w:line="252" w:lineRule="auto"/>
        <w:ind w:left="426" w:hanging="426"/>
        <w:jc w:val="both"/>
        <w:rPr>
          <w:rFonts w:cs="Arial"/>
          <w:bCs/>
          <w:color w:val="000000"/>
        </w:rPr>
      </w:pPr>
      <w:r w:rsidRPr="00036000">
        <w:rPr>
          <w:rFonts w:cs="Arial"/>
          <w:bCs/>
          <w:color w:val="000000"/>
        </w:rPr>
        <w:t>Návrh a provedení vnitřních rozvodů slaboproudu musí být v souladu se všemi platnými právními předpisy</w:t>
      </w:r>
      <w:r>
        <w:rPr>
          <w:rFonts w:cs="Arial"/>
          <w:bCs/>
          <w:color w:val="000000"/>
        </w:rPr>
        <w:t>, z</w:t>
      </w:r>
      <w:r w:rsidRPr="00036000">
        <w:rPr>
          <w:rFonts w:cs="Arial"/>
          <w:bCs/>
          <w:color w:val="000000"/>
        </w:rPr>
        <w:t xml:space="preserve">ejména </w:t>
      </w:r>
      <w:r>
        <w:rPr>
          <w:rFonts w:cs="Arial"/>
          <w:bCs/>
          <w:color w:val="000000"/>
        </w:rPr>
        <w:t>s</w:t>
      </w:r>
      <w:r w:rsidRPr="00036000">
        <w:rPr>
          <w:rFonts w:cs="Arial"/>
          <w:bCs/>
          <w:color w:val="000000"/>
        </w:rPr>
        <w:t xml:space="preserve"> Vyhlášk</w:t>
      </w:r>
      <w:r>
        <w:rPr>
          <w:rFonts w:cs="Arial"/>
          <w:bCs/>
          <w:color w:val="000000"/>
        </w:rPr>
        <w:t>ou</w:t>
      </w:r>
      <w:r w:rsidRPr="00036000">
        <w:rPr>
          <w:rFonts w:cs="Arial"/>
          <w:bCs/>
          <w:color w:val="000000"/>
        </w:rPr>
        <w:t xml:space="preserve"> 23/2008 Sb. ve znění pozdějších předpisů</w:t>
      </w:r>
      <w:r>
        <w:rPr>
          <w:rFonts w:cs="Arial"/>
          <w:bCs/>
          <w:color w:val="000000"/>
        </w:rPr>
        <w:t>, a dále</w:t>
      </w:r>
      <w:r w:rsidRPr="00036000">
        <w:rPr>
          <w:rFonts w:cs="Arial"/>
          <w:bCs/>
          <w:color w:val="000000"/>
        </w:rPr>
        <w:t xml:space="preserve"> </w:t>
      </w:r>
      <w:r>
        <w:rPr>
          <w:rFonts w:cs="Arial"/>
          <w:bCs/>
          <w:color w:val="000000"/>
        </w:rPr>
        <w:t>se souborem norem ČSN EN 50173, ČSN EN 50174, ČSN EN 50346 v aktuálním platném znění.</w:t>
      </w:r>
    </w:p>
    <w:p w14:paraId="2C5E3DAB" w14:textId="77777777" w:rsidR="00036000" w:rsidRDefault="00036000" w:rsidP="00276AFE">
      <w:pPr>
        <w:numPr>
          <w:ilvl w:val="1"/>
          <w:numId w:val="12"/>
        </w:numPr>
        <w:spacing w:after="120" w:line="252" w:lineRule="auto"/>
        <w:ind w:left="426" w:hanging="426"/>
        <w:jc w:val="both"/>
        <w:rPr>
          <w:rFonts w:cs="Arial"/>
          <w:bCs/>
          <w:color w:val="000000"/>
        </w:rPr>
      </w:pPr>
      <w:r>
        <w:rPr>
          <w:rFonts w:cs="Arial"/>
          <w:bCs/>
          <w:color w:val="000000"/>
        </w:rPr>
        <w:t xml:space="preserve">Vnitřní rozvody budou provedeny ve stejném technickém provedení jako jsou rozvody stávající, tj. po </w:t>
      </w:r>
      <w:r w:rsidRPr="00036000">
        <w:rPr>
          <w:rFonts w:cs="Arial"/>
          <w:bCs/>
          <w:color w:val="000000"/>
        </w:rPr>
        <w:t xml:space="preserve">povrchu </w:t>
      </w:r>
      <w:r w:rsidRPr="00036000">
        <w:rPr>
          <w:rFonts w:cs="Arial"/>
          <w:bCs/>
        </w:rPr>
        <w:t>v podhledech, elektroinstalačních lištách, nebo drátěných žlabech</w:t>
      </w:r>
      <w:r w:rsidRPr="00036000">
        <w:rPr>
          <w:rFonts w:cs="Arial"/>
          <w:bCs/>
          <w:color w:val="000000"/>
        </w:rPr>
        <w:t>. Návrh</w:t>
      </w:r>
      <w:r>
        <w:rPr>
          <w:rFonts w:cs="Arial"/>
          <w:bCs/>
          <w:color w:val="000000"/>
        </w:rPr>
        <w:t xml:space="preserve"> jejich provedení je předmětem dodávky zhotovitele. Způsob provedení bude vždy odsouhlasen technickým odborem investora. Prostupy elektrických rozvodů (kabelů a vodičů) požárně dělícími konstrukcemi musí být provedeny podle článku 6.2 ČSN 73 0810 v aktuálním platném znění.</w:t>
      </w:r>
    </w:p>
    <w:p w14:paraId="6BAEDC16" w14:textId="353C3DBB" w:rsidR="00036000" w:rsidRDefault="00036000" w:rsidP="00276AFE">
      <w:pPr>
        <w:numPr>
          <w:ilvl w:val="1"/>
          <w:numId w:val="12"/>
        </w:numPr>
        <w:spacing w:after="120" w:line="252" w:lineRule="auto"/>
        <w:ind w:left="426" w:hanging="426"/>
        <w:jc w:val="both"/>
        <w:rPr>
          <w:rFonts w:cs="Arial"/>
          <w:color w:val="000000"/>
        </w:rPr>
      </w:pPr>
      <w:r>
        <w:rPr>
          <w:rFonts w:cs="Arial"/>
          <w:bCs/>
          <w:color w:val="000000"/>
        </w:rPr>
        <w:t xml:space="preserve">Použité kabely musí být vzhledem k charakteru objektů s třídou reakce </w:t>
      </w:r>
      <w:r w:rsidRPr="00036000">
        <w:rPr>
          <w:rFonts w:cs="Arial"/>
          <w:bCs/>
          <w:color w:val="000000"/>
        </w:rPr>
        <w:t>na oheň B2cas1d1 a Dcas1d1. Nové rozvody</w:t>
      </w:r>
      <w:r>
        <w:rPr>
          <w:rFonts w:cs="Arial"/>
          <w:bCs/>
          <w:color w:val="000000"/>
        </w:rPr>
        <w:t xml:space="preserve"> budou provedeny v souladu s požárně bezpečnostním řešením objektu.</w:t>
      </w:r>
    </w:p>
    <w:p w14:paraId="2E3E332D" w14:textId="77777777" w:rsidR="00036000" w:rsidRDefault="00036000" w:rsidP="00276AFE">
      <w:pPr>
        <w:numPr>
          <w:ilvl w:val="1"/>
          <w:numId w:val="12"/>
        </w:numPr>
        <w:spacing w:after="120" w:line="252" w:lineRule="auto"/>
        <w:ind w:left="426" w:hanging="426"/>
        <w:jc w:val="both"/>
        <w:rPr>
          <w:rFonts w:cs="Arial"/>
          <w:color w:val="000000"/>
        </w:rPr>
      </w:pPr>
      <w:r>
        <w:rPr>
          <w:rFonts w:cs="Arial"/>
          <w:bCs/>
          <w:color w:val="000000"/>
        </w:rPr>
        <w:t xml:space="preserve">Datové přípoje budou zakončovány v prostorách datových rozvaděčů. V případě, že nebude stávající rozvaděč umožňovat další rozšíření (instalaci dalších propojovacích panelů aj.), bude demontován a nahrazen rozvaděčem novým v odpovídající velikosti. </w:t>
      </w:r>
    </w:p>
    <w:p w14:paraId="233E1081" w14:textId="77777777" w:rsidR="00036000" w:rsidRDefault="00036000" w:rsidP="00276AFE">
      <w:pPr>
        <w:numPr>
          <w:ilvl w:val="1"/>
          <w:numId w:val="12"/>
        </w:numPr>
        <w:spacing w:after="120" w:line="252" w:lineRule="auto"/>
        <w:ind w:left="426" w:hanging="426"/>
        <w:jc w:val="both"/>
        <w:rPr>
          <w:rFonts w:cs="Arial"/>
          <w:color w:val="000000"/>
        </w:rPr>
      </w:pPr>
      <w:r>
        <w:rPr>
          <w:rFonts w:cs="Arial"/>
          <w:bCs/>
          <w:color w:val="000000"/>
        </w:rPr>
        <w:t>Práce související s instalací nových (větších) rozvaděčů budou prováděny v termínech schválených technickým odborem investora (dodavatele) mimo pracovní dobu, aby byl minimalizován dopad na provoz jednotlivých oddělení.</w:t>
      </w:r>
    </w:p>
    <w:p w14:paraId="7CE3EFCB" w14:textId="77777777" w:rsidR="00036000" w:rsidRDefault="00036000" w:rsidP="00276AFE">
      <w:pPr>
        <w:numPr>
          <w:ilvl w:val="1"/>
          <w:numId w:val="12"/>
        </w:numPr>
        <w:spacing w:after="0" w:line="252" w:lineRule="auto"/>
        <w:ind w:left="426" w:hanging="426"/>
        <w:jc w:val="both"/>
        <w:rPr>
          <w:rFonts w:cs="Arial"/>
          <w:bCs/>
          <w:color w:val="000000"/>
        </w:rPr>
      </w:pPr>
      <w:r>
        <w:rPr>
          <w:rFonts w:cs="Arial"/>
          <w:bCs/>
          <w:color w:val="000000"/>
        </w:rPr>
        <w:t>Po dokončení prací bude zhotovitelem předána dokumentace skutečného stavu provedení minimálně v tomto rozsahu:</w:t>
      </w:r>
    </w:p>
    <w:p w14:paraId="4F733090" w14:textId="77777777" w:rsidR="00036000" w:rsidRDefault="00036000" w:rsidP="00E15D9A">
      <w:pPr>
        <w:numPr>
          <w:ilvl w:val="0"/>
          <w:numId w:val="13"/>
        </w:numPr>
        <w:spacing w:after="0" w:line="252" w:lineRule="auto"/>
        <w:jc w:val="both"/>
        <w:rPr>
          <w:rFonts w:cs="Arial"/>
          <w:bCs/>
          <w:color w:val="000000"/>
        </w:rPr>
      </w:pPr>
      <w:r>
        <w:rPr>
          <w:rFonts w:cs="Arial"/>
          <w:bCs/>
          <w:color w:val="000000"/>
        </w:rPr>
        <w:t>výkresy jednotlivých podlaží se zakreslenou pozicí realizovaných koncových prvků a provedením tras,</w:t>
      </w:r>
    </w:p>
    <w:p w14:paraId="111ADADC" w14:textId="77777777" w:rsidR="00036000" w:rsidRDefault="00036000" w:rsidP="00E15D9A">
      <w:pPr>
        <w:numPr>
          <w:ilvl w:val="0"/>
          <w:numId w:val="13"/>
        </w:numPr>
        <w:spacing w:after="0" w:line="252" w:lineRule="auto"/>
        <w:jc w:val="both"/>
        <w:rPr>
          <w:rFonts w:cs="Arial"/>
          <w:bCs/>
          <w:color w:val="000000"/>
        </w:rPr>
      </w:pPr>
      <w:r>
        <w:rPr>
          <w:rFonts w:cs="Arial"/>
          <w:bCs/>
          <w:color w:val="000000"/>
        </w:rPr>
        <w:t>rozkreslení datových rozvaděčů, do kterých byla zakončena nová kabeláž,</w:t>
      </w:r>
    </w:p>
    <w:p w14:paraId="4E4AD588" w14:textId="77777777" w:rsidR="00036000" w:rsidRDefault="00036000" w:rsidP="006F7189">
      <w:pPr>
        <w:numPr>
          <w:ilvl w:val="0"/>
          <w:numId w:val="13"/>
        </w:numPr>
        <w:spacing w:after="120" w:line="276" w:lineRule="auto"/>
        <w:ind w:left="1117" w:hanging="357"/>
        <w:jc w:val="both"/>
        <w:rPr>
          <w:rFonts w:cs="Arial"/>
          <w:bCs/>
          <w:color w:val="000000"/>
        </w:rPr>
      </w:pPr>
      <w:r>
        <w:rPr>
          <w:rFonts w:cs="Arial"/>
          <w:bCs/>
          <w:color w:val="000000"/>
        </w:rPr>
        <w:t>dokumentace protipožárních ucpávek (pokud budou nějaké realizovány).</w:t>
      </w:r>
    </w:p>
    <w:p w14:paraId="748CB5FA" w14:textId="77777777" w:rsidR="00036000" w:rsidRPr="00036000" w:rsidRDefault="00036000" w:rsidP="00276AFE">
      <w:pPr>
        <w:numPr>
          <w:ilvl w:val="1"/>
          <w:numId w:val="12"/>
        </w:numPr>
        <w:spacing w:after="120" w:line="252" w:lineRule="auto"/>
        <w:ind w:left="426" w:hanging="426"/>
        <w:jc w:val="both"/>
        <w:rPr>
          <w:rFonts w:cs="Arial"/>
          <w:bCs/>
          <w:color w:val="000000"/>
        </w:rPr>
      </w:pPr>
      <w:r w:rsidRPr="00036000">
        <w:rPr>
          <w:rFonts w:cs="Arial"/>
          <w:bCs/>
          <w:color w:val="000000"/>
        </w:rPr>
        <w:t>Zhotovitel bude po celou dobu trvání smlouvy průběžně aktualizovat a archivovat výkresy jednotlivých objektů, na kterých prováděla instalační práce. Tyto aktuální výkresy musí bezplatně poskytnout objednateli (v elektronické podobě), kdykoliv o to požádá.</w:t>
      </w:r>
    </w:p>
    <w:p w14:paraId="53603347" w14:textId="77777777" w:rsidR="00036000" w:rsidRDefault="00036000" w:rsidP="00276AFE">
      <w:pPr>
        <w:numPr>
          <w:ilvl w:val="1"/>
          <w:numId w:val="12"/>
        </w:numPr>
        <w:spacing w:after="120" w:line="252" w:lineRule="auto"/>
        <w:ind w:left="426" w:hanging="426"/>
        <w:jc w:val="both"/>
        <w:rPr>
          <w:rFonts w:cs="Arial"/>
          <w:bCs/>
          <w:color w:val="000000"/>
        </w:rPr>
      </w:pPr>
      <w:r>
        <w:rPr>
          <w:rFonts w:cs="Arial"/>
          <w:bCs/>
          <w:color w:val="000000"/>
        </w:rPr>
        <w:t>Finální d</w:t>
      </w:r>
      <w:r w:rsidRPr="00036000">
        <w:rPr>
          <w:rFonts w:cs="Arial"/>
          <w:bCs/>
          <w:color w:val="000000"/>
        </w:rPr>
        <w:t xml:space="preserve">okumentace </w:t>
      </w:r>
      <w:r>
        <w:rPr>
          <w:rFonts w:cs="Arial"/>
          <w:bCs/>
          <w:color w:val="000000"/>
        </w:rPr>
        <w:t xml:space="preserve">dle skutečného stavu </w:t>
      </w:r>
      <w:r w:rsidRPr="00036000">
        <w:rPr>
          <w:rFonts w:cs="Arial"/>
          <w:bCs/>
          <w:color w:val="000000"/>
        </w:rPr>
        <w:t>bude předána 1x v elektronické podobě ve formátu PDF a 1x v tištěné podobě.</w:t>
      </w:r>
    </w:p>
    <w:p w14:paraId="7F03E5C0" w14:textId="4EEC6F30" w:rsidR="00036000" w:rsidRPr="00276AFE" w:rsidRDefault="00036000" w:rsidP="00CC24E0">
      <w:pPr>
        <w:numPr>
          <w:ilvl w:val="1"/>
          <w:numId w:val="12"/>
        </w:numPr>
        <w:tabs>
          <w:tab w:val="left" w:pos="426"/>
          <w:tab w:val="left" w:pos="709"/>
        </w:tabs>
        <w:spacing w:after="480" w:line="252" w:lineRule="auto"/>
        <w:ind w:left="425" w:hanging="425"/>
        <w:jc w:val="both"/>
        <w:rPr>
          <w:rFonts w:cs="Arial"/>
          <w:bCs/>
          <w:color w:val="000000"/>
        </w:rPr>
      </w:pPr>
      <w:r w:rsidRPr="00036000">
        <w:rPr>
          <w:spacing w:val="-2"/>
        </w:rPr>
        <w:t xml:space="preserve">Zpracovaná projektová dokumentace bude předávána jak v elektronické, tak i tištěné podobě. Výkresová část bude předávána ve formátech PDF a DWG. Textová část ve formátech PDF, DOC případně XLS. </w:t>
      </w:r>
    </w:p>
    <w:p w14:paraId="35B5916A" w14:textId="3D18D3D6" w:rsidR="00004579" w:rsidRDefault="00004579" w:rsidP="00E15D9A">
      <w:pPr>
        <w:pStyle w:val="Default"/>
        <w:numPr>
          <w:ilvl w:val="0"/>
          <w:numId w:val="17"/>
        </w:numPr>
        <w:spacing w:after="120" w:line="252" w:lineRule="auto"/>
        <w:jc w:val="both"/>
        <w:rPr>
          <w:rFonts w:asciiTheme="minorHAnsi" w:hAnsiTheme="minorHAnsi" w:cstheme="minorHAnsi"/>
          <w:b/>
          <w:bCs/>
        </w:rPr>
      </w:pPr>
      <w:r>
        <w:rPr>
          <w:rFonts w:asciiTheme="minorHAnsi" w:hAnsiTheme="minorHAnsi" w:cstheme="minorHAnsi"/>
          <w:b/>
          <w:bCs/>
        </w:rPr>
        <w:t>Specifické technické požadavky</w:t>
      </w:r>
    </w:p>
    <w:p w14:paraId="603BFD0C" w14:textId="661BD0AF" w:rsidR="00004579" w:rsidRDefault="00004579" w:rsidP="00004579">
      <w:pPr>
        <w:pStyle w:val="Default"/>
        <w:spacing w:after="120" w:line="252" w:lineRule="auto"/>
        <w:jc w:val="both"/>
        <w:rPr>
          <w:rFonts w:asciiTheme="minorHAnsi" w:hAnsiTheme="minorHAnsi" w:cstheme="minorHAnsi"/>
          <w:sz w:val="22"/>
          <w:szCs w:val="22"/>
        </w:rPr>
      </w:pPr>
      <w:r w:rsidRPr="00004579">
        <w:rPr>
          <w:rFonts w:asciiTheme="minorHAnsi" w:hAnsiTheme="minorHAnsi" w:cstheme="minorHAnsi"/>
          <w:sz w:val="22"/>
          <w:szCs w:val="22"/>
        </w:rPr>
        <w:t>Na dodávané řešení se vztahují tyto specifické technické požadavky, které jsou pro Zhotovitele závazné:</w:t>
      </w:r>
    </w:p>
    <w:p w14:paraId="148EF463" w14:textId="2AD9F0B7"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lastRenderedPageBreak/>
        <w:t xml:space="preserve">Všechny datové zásuvky musí být projektovány jako dvou-zásuvky. Na jedno pracoviště musí být vždy projektovány min </w:t>
      </w:r>
      <w:r w:rsidR="00B54003">
        <w:rPr>
          <w:rFonts w:cs="Arial"/>
          <w:bCs/>
          <w:color w:val="000000"/>
        </w:rPr>
        <w:t>.2</w:t>
      </w:r>
      <w:r w:rsidRPr="00004579">
        <w:rPr>
          <w:rFonts w:cs="Arial"/>
          <w:bCs/>
          <w:color w:val="000000"/>
        </w:rPr>
        <w:t xml:space="preserve"> dvou-zásuvky (tzn. </w:t>
      </w:r>
      <w:r w:rsidR="00B54003">
        <w:rPr>
          <w:rFonts w:cs="Arial"/>
          <w:bCs/>
          <w:color w:val="000000"/>
        </w:rPr>
        <w:t>4</w:t>
      </w:r>
      <w:r w:rsidRPr="00004579">
        <w:rPr>
          <w:rFonts w:cs="Arial"/>
          <w:bCs/>
          <w:color w:val="000000"/>
        </w:rPr>
        <w:t xml:space="preserve"> přípojná místa). V případě datových dvou-zásuvek určených pro např. zdravotnickou techniku, kamerové systémy, WIFI AP atp., se musí vždy vyjádřit patřičné odd</w:t>
      </w:r>
      <w:r>
        <w:rPr>
          <w:rFonts w:cs="Arial"/>
          <w:bCs/>
          <w:color w:val="000000"/>
        </w:rPr>
        <w:t>ělení</w:t>
      </w:r>
      <w:r w:rsidRPr="00004579">
        <w:rPr>
          <w:rFonts w:cs="Arial"/>
          <w:bCs/>
          <w:color w:val="000000"/>
        </w:rPr>
        <w:t xml:space="preserve"> k jejich počtům a umístění. </w:t>
      </w:r>
    </w:p>
    <w:p w14:paraId="45D30E58" w14:textId="0DB861AA"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 xml:space="preserve">U všech nově zhotovených TV přípojek bude vždy umístěna i datová dvou-zásuvka, pro plánovaný TV příjem skrze IPTV. </w:t>
      </w:r>
    </w:p>
    <w:p w14:paraId="4CDA0DF9" w14:textId="77777777"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 xml:space="preserve">V případě, že v rámci projektu bude dodán nový datový rozvaděč, tak musejí být splněny následující požadavky: </w:t>
      </w:r>
    </w:p>
    <w:p w14:paraId="778DE76C"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Datový rozvaděč bude o rozměrech –42U 19“ (60cm), hloubka 80cm. </w:t>
      </w:r>
    </w:p>
    <w:p w14:paraId="19F40263"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Přední dveře perforované. Zadní dveře dvoukřídlé a perforované. </w:t>
      </w:r>
    </w:p>
    <w:p w14:paraId="410C5606"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Nový datový rozvaděč musí být osazen veškerou technologií pro provoz datové sítě dle standardů NPK </w:t>
      </w:r>
    </w:p>
    <w:p w14:paraId="114CF7A7"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Do rozvaděče musí být přiveden odpovídající přívod elektrické energie, zásuvky typu E (CEE7/5), z každé fáze L1,L2,L3. Jištění C16A. Z rozvaděče DO. Vždy nutno konzultovat s provozně technickým úsekem (PTÚ) v NPK – odd. energetiky. </w:t>
      </w:r>
    </w:p>
    <w:p w14:paraId="50C5827B"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Do datového rozvaděče musí být dotažen přívod optické kabeláže min. 48 </w:t>
      </w:r>
      <w:proofErr w:type="spellStart"/>
      <w:r w:rsidRPr="00004579">
        <w:rPr>
          <w:rFonts w:asciiTheme="minorHAnsi" w:hAnsiTheme="minorHAnsi" w:cstheme="minorHAnsi"/>
          <w:color w:val="auto"/>
          <w:sz w:val="22"/>
          <w:szCs w:val="22"/>
        </w:rPr>
        <w:t>vl</w:t>
      </w:r>
      <w:proofErr w:type="spellEnd"/>
      <w:r w:rsidRPr="00004579">
        <w:rPr>
          <w:rFonts w:asciiTheme="minorHAnsi" w:hAnsiTheme="minorHAnsi" w:cstheme="minorHAnsi"/>
          <w:color w:val="auto"/>
          <w:sz w:val="22"/>
          <w:szCs w:val="22"/>
        </w:rPr>
        <w:t xml:space="preserve">. </w:t>
      </w:r>
      <w:proofErr w:type="spellStart"/>
      <w:r w:rsidRPr="00004579">
        <w:rPr>
          <w:rFonts w:asciiTheme="minorHAnsi" w:hAnsiTheme="minorHAnsi" w:cstheme="minorHAnsi"/>
          <w:color w:val="auto"/>
          <w:sz w:val="22"/>
          <w:szCs w:val="22"/>
        </w:rPr>
        <w:t>Singlemode</w:t>
      </w:r>
      <w:proofErr w:type="spellEnd"/>
      <w:r w:rsidRPr="00004579">
        <w:rPr>
          <w:rFonts w:asciiTheme="minorHAnsi" w:hAnsiTheme="minorHAnsi" w:cstheme="minorHAnsi"/>
          <w:color w:val="auto"/>
          <w:sz w:val="22"/>
          <w:szCs w:val="22"/>
        </w:rPr>
        <w:t xml:space="preserve">, zavařené a ukončené v optické vaně. Optické vany budou na obou koncích adekvátně popsány na obou stranách stejně (z popisu by mělo být jasné, o jakou optickou kabeláž se jedná, kolik vláken je zavařeno a odkud kam je tato trasa tažena). </w:t>
      </w:r>
    </w:p>
    <w:p w14:paraId="442B8718"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Klimatizace, určená pro stálý provoz. S funkcí </w:t>
      </w:r>
      <w:proofErr w:type="spellStart"/>
      <w:r w:rsidRPr="00004579">
        <w:rPr>
          <w:rFonts w:asciiTheme="minorHAnsi" w:hAnsiTheme="minorHAnsi" w:cstheme="minorHAnsi"/>
          <w:color w:val="auto"/>
          <w:sz w:val="22"/>
          <w:szCs w:val="22"/>
        </w:rPr>
        <w:t>Autorestart</w:t>
      </w:r>
      <w:proofErr w:type="spellEnd"/>
      <w:r w:rsidRPr="00004579">
        <w:rPr>
          <w:rFonts w:asciiTheme="minorHAnsi" w:hAnsiTheme="minorHAnsi" w:cstheme="minorHAnsi"/>
          <w:color w:val="auto"/>
          <w:sz w:val="22"/>
          <w:szCs w:val="22"/>
        </w:rPr>
        <w:t xml:space="preserve">, Elektrický přívod ze sběrnice DO. Chladivo R32 nebo </w:t>
      </w:r>
      <w:proofErr w:type="spellStart"/>
      <w:r w:rsidRPr="00004579">
        <w:rPr>
          <w:rFonts w:asciiTheme="minorHAnsi" w:hAnsiTheme="minorHAnsi" w:cstheme="minorHAnsi"/>
          <w:color w:val="auto"/>
          <w:sz w:val="22"/>
          <w:szCs w:val="22"/>
        </w:rPr>
        <w:t>ekviv</w:t>
      </w:r>
      <w:proofErr w:type="spellEnd"/>
      <w:r w:rsidRPr="00004579">
        <w:rPr>
          <w:rFonts w:asciiTheme="minorHAnsi" w:hAnsiTheme="minorHAnsi" w:cstheme="minorHAnsi"/>
          <w:color w:val="auto"/>
          <w:sz w:val="22"/>
          <w:szCs w:val="22"/>
        </w:rPr>
        <w:t xml:space="preserve">. Teplotní rozsah -15° až 47° vnější teploty. </w:t>
      </w:r>
    </w:p>
    <w:p w14:paraId="421C316A" w14:textId="05DA0C72"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UPS dvojitou konverzí - Online. </w:t>
      </w:r>
      <w:proofErr w:type="spellStart"/>
      <w:r w:rsidRPr="00004579">
        <w:rPr>
          <w:rFonts w:asciiTheme="minorHAnsi" w:hAnsiTheme="minorHAnsi" w:cstheme="minorHAnsi"/>
          <w:color w:val="auto"/>
          <w:sz w:val="22"/>
          <w:szCs w:val="22"/>
        </w:rPr>
        <w:t>Rack</w:t>
      </w:r>
      <w:proofErr w:type="spellEnd"/>
      <w:r w:rsidRPr="00004579">
        <w:rPr>
          <w:rFonts w:asciiTheme="minorHAnsi" w:hAnsiTheme="minorHAnsi" w:cstheme="minorHAnsi"/>
          <w:color w:val="auto"/>
          <w:sz w:val="22"/>
          <w:szCs w:val="22"/>
        </w:rPr>
        <w:t xml:space="preserve"> provedení. Výstupní zásuvky – PDU typu E (CEE7/5), </w:t>
      </w:r>
      <w:r w:rsidRPr="000663D3">
        <w:rPr>
          <w:rFonts w:asciiTheme="minorHAnsi" w:hAnsiTheme="minorHAnsi" w:cstheme="minorHAnsi"/>
          <w:color w:val="auto"/>
          <w:sz w:val="22"/>
          <w:szCs w:val="22"/>
        </w:rPr>
        <w:t>SNMP</w:t>
      </w:r>
      <w:r w:rsidRPr="000663D3">
        <w:rPr>
          <w:rFonts w:asciiTheme="minorHAnsi" w:hAnsiTheme="minorHAnsi" w:cstheme="minorHAnsi"/>
          <w:strike/>
          <w:color w:val="auto"/>
          <w:sz w:val="22"/>
          <w:szCs w:val="22"/>
        </w:rPr>
        <w:t xml:space="preserve"> </w:t>
      </w:r>
      <w:r w:rsidRPr="00004579">
        <w:rPr>
          <w:rFonts w:asciiTheme="minorHAnsi" w:hAnsiTheme="minorHAnsi" w:cstheme="minorHAnsi"/>
          <w:color w:val="auto"/>
          <w:sz w:val="22"/>
          <w:szCs w:val="22"/>
        </w:rPr>
        <w:t>v2c</w:t>
      </w:r>
      <w:r w:rsidR="000663D3">
        <w:rPr>
          <w:rFonts w:asciiTheme="minorHAnsi" w:hAnsiTheme="minorHAnsi" w:cstheme="minorHAnsi"/>
          <w:color w:val="auto"/>
          <w:sz w:val="22"/>
          <w:szCs w:val="22"/>
        </w:rPr>
        <w:t>/v3</w:t>
      </w:r>
      <w:r w:rsidRPr="00004579">
        <w:rPr>
          <w:rFonts w:asciiTheme="minorHAnsi" w:hAnsiTheme="minorHAnsi" w:cstheme="minorHAnsi"/>
          <w:color w:val="auto"/>
          <w:sz w:val="22"/>
          <w:szCs w:val="22"/>
        </w:rPr>
        <w:t xml:space="preserve"> rozhraní LAN Ethernet RJ45. </w:t>
      </w:r>
    </w:p>
    <w:p w14:paraId="4EA09496" w14:textId="17514E9B"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ATS Automatický přepínač dvou elektrických zdrojů 230V/16A. Doba přepnutí Max. 8ms, Výstupní zásuvky – PDU typu E (CEE7/5). SNMP </w:t>
      </w:r>
      <w:r w:rsidRPr="000663D3">
        <w:rPr>
          <w:rFonts w:asciiTheme="minorHAnsi" w:hAnsiTheme="minorHAnsi" w:cstheme="minorHAnsi"/>
          <w:strike/>
          <w:color w:val="auto"/>
          <w:sz w:val="22"/>
          <w:szCs w:val="22"/>
        </w:rPr>
        <w:t>v</w:t>
      </w:r>
      <w:r w:rsidRPr="00004579">
        <w:rPr>
          <w:rFonts w:asciiTheme="minorHAnsi" w:hAnsiTheme="minorHAnsi" w:cstheme="minorHAnsi"/>
          <w:color w:val="auto"/>
          <w:sz w:val="22"/>
          <w:szCs w:val="22"/>
        </w:rPr>
        <w:t>2c</w:t>
      </w:r>
      <w:r w:rsidR="000663D3">
        <w:rPr>
          <w:rFonts w:asciiTheme="minorHAnsi" w:hAnsiTheme="minorHAnsi" w:cstheme="minorHAnsi"/>
          <w:color w:val="auto"/>
          <w:sz w:val="22"/>
          <w:szCs w:val="22"/>
        </w:rPr>
        <w:t>/v3</w:t>
      </w:r>
      <w:r w:rsidRPr="00004579">
        <w:rPr>
          <w:rFonts w:asciiTheme="minorHAnsi" w:hAnsiTheme="minorHAnsi" w:cstheme="minorHAnsi"/>
          <w:color w:val="auto"/>
          <w:sz w:val="22"/>
          <w:szCs w:val="22"/>
        </w:rPr>
        <w:t xml:space="preserve"> rozhraní LAN Ethernet RJ45. </w:t>
      </w:r>
    </w:p>
    <w:p w14:paraId="0171199C" w14:textId="77777777" w:rsidR="00004579" w:rsidRPr="00004579" w:rsidRDefault="00004579" w:rsidP="00276AFE">
      <w:pPr>
        <w:pStyle w:val="Default"/>
        <w:numPr>
          <w:ilvl w:val="0"/>
          <w:numId w:val="5"/>
        </w:numPr>
        <w:spacing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Vstupy do rozvoden musí být chráněny přístupovým systémem. Pro sdílené prostory rozvoden musí být samotný datový rozvaděč zabezpečen přístupovým systémem přes identifikační kartu </w:t>
      </w:r>
    </w:p>
    <w:p w14:paraId="19AF70C2" w14:textId="00ED493E" w:rsidR="00004579" w:rsidRPr="00276AFE" w:rsidRDefault="00004579" w:rsidP="00276AFE">
      <w:pPr>
        <w:pStyle w:val="Default"/>
        <w:numPr>
          <w:ilvl w:val="0"/>
          <w:numId w:val="5"/>
        </w:numPr>
        <w:spacing w:after="240" w:line="252" w:lineRule="auto"/>
        <w:ind w:left="714" w:hanging="288"/>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ICT úsek infrastruktury musí mít do datových rozvoden přístup 24/7. </w:t>
      </w:r>
    </w:p>
    <w:p w14:paraId="7970982C" w14:textId="43FEE795"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 xml:space="preserve">Pokud je prováděna jakákoli manipulace (demontáž datové zásuvky, přesun datové zásuvky atp.) se stávajícími datovými rozvody, tak je nutné tyto rozvody zachovat. Zachování stávajících rozvodů by mělo být provedeno, buď stočením kabeláže např. do podhledů, nebo jejich použitím k nově zřizovaným zásuvkám v případě že splňují výše popsané standardy. V obou případech je nutné zachovat stávající popis, jak v datovém rozvaděči, tak na dat. zásuvce (kabel nesmí být ukončen pouze Key-stony, ale vždy musí být zakončen celou datovou zásuvkou). Po takto provedené manipulaci musí být tato změna zanesena do výkresové části a tyto zásuvky musí být řádně proměřeny za účelem prokázání jejich funkčnosti. Pokud zachování stávající kabeláže nebude, z jasně definovaných důvodů, možné tak je zhotovitel povinen tuto kabeláž demontovat v celé její trase, až do datového rozvaděče. Bližší konzultace by měla být prováděna s kontaktní osobou za objednatele, kontakt viz níže. </w:t>
      </w:r>
    </w:p>
    <w:p w14:paraId="6F8ABE93" w14:textId="77777777"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Při zhotovení nové datové zásuvky, musí být tato zásuvka adekvátně označena na obou koncích stejným označením, dle stávajících standardů (popisek datové zásuvky nesmí být v rámci budovy duplicitní). Popis datových zásuvek musí být v následujícím tvaru, musí navazovat na stávající číselnou řadu a musí být zakreslena do projektové dokumentace skutečného provedení. Každý vývod datové zásuvky je označen barevným štítkem – modrý štítek je u vývodů pro PC, žlutý štítek u vývodů pro připojení telefonu, červený u optického portu.</w:t>
      </w:r>
    </w:p>
    <w:p w14:paraId="38BE1180" w14:textId="77777777" w:rsidR="00004579" w:rsidRDefault="00004579" w:rsidP="00004579">
      <w:pPr>
        <w:pStyle w:val="Default"/>
        <w:spacing w:after="120" w:line="252" w:lineRule="auto"/>
        <w:jc w:val="both"/>
        <w:rPr>
          <w:rFonts w:asciiTheme="minorHAnsi" w:hAnsiTheme="minorHAnsi" w:cstheme="minorHAnsi"/>
          <w:color w:val="auto"/>
          <w:sz w:val="20"/>
          <w:szCs w:val="20"/>
        </w:rPr>
      </w:pPr>
    </w:p>
    <w:p w14:paraId="0352F09C" w14:textId="77777777" w:rsidR="00CC24E0" w:rsidRDefault="00CC24E0" w:rsidP="00004579">
      <w:pPr>
        <w:pStyle w:val="Default"/>
        <w:spacing w:after="120" w:line="252" w:lineRule="auto"/>
        <w:jc w:val="both"/>
        <w:rPr>
          <w:rFonts w:asciiTheme="minorHAnsi" w:hAnsiTheme="minorHAnsi" w:cstheme="minorHAnsi"/>
          <w:color w:val="auto"/>
          <w:sz w:val="20"/>
          <w:szCs w:val="20"/>
        </w:rPr>
      </w:pPr>
    </w:p>
    <w:p w14:paraId="6EB23E54" w14:textId="340B9CF3"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lastRenderedPageBreak/>
        <w:t xml:space="preserve">                              </w:t>
      </w:r>
      <w:r>
        <w:rPr>
          <w:noProof/>
        </w:rPr>
        <w:drawing>
          <wp:inline distT="0" distB="0" distL="0" distR="0" wp14:anchorId="1EEE418A" wp14:editId="35551C95">
            <wp:extent cx="2131730" cy="685062"/>
            <wp:effectExtent l="0" t="0" r="1905" b="1270"/>
            <wp:docPr id="15639957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995726" name=""/>
                    <pic:cNvPicPr/>
                  </pic:nvPicPr>
                  <pic:blipFill>
                    <a:blip r:embed="rId9"/>
                    <a:stretch>
                      <a:fillRect/>
                    </a:stretch>
                  </pic:blipFill>
                  <pic:spPr>
                    <a:xfrm>
                      <a:off x="0" y="0"/>
                      <a:ext cx="2151673" cy="691471"/>
                    </a:xfrm>
                    <a:prstGeom prst="rect">
                      <a:avLst/>
                    </a:prstGeom>
                  </pic:spPr>
                </pic:pic>
              </a:graphicData>
            </a:graphic>
          </wp:inline>
        </w:drawing>
      </w:r>
    </w:p>
    <w:p w14:paraId="470E0CC2" w14:textId="29613134"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Pr>
          <w:noProof/>
        </w:rPr>
        <w:drawing>
          <wp:inline distT="0" distB="0" distL="0" distR="0" wp14:anchorId="1D36449E" wp14:editId="45F315A0">
            <wp:extent cx="2092461" cy="660777"/>
            <wp:effectExtent l="0" t="0" r="3175" b="6350"/>
            <wp:docPr id="3147454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45464" name=""/>
                    <pic:cNvPicPr/>
                  </pic:nvPicPr>
                  <pic:blipFill>
                    <a:blip r:embed="rId10"/>
                    <a:stretch>
                      <a:fillRect/>
                    </a:stretch>
                  </pic:blipFill>
                  <pic:spPr>
                    <a:xfrm>
                      <a:off x="0" y="0"/>
                      <a:ext cx="2120378" cy="669593"/>
                    </a:xfrm>
                    <a:prstGeom prst="rect">
                      <a:avLst/>
                    </a:prstGeom>
                  </pic:spPr>
                </pic:pic>
              </a:graphicData>
            </a:graphic>
          </wp:inline>
        </w:drawing>
      </w:r>
    </w:p>
    <w:p w14:paraId="010C4C37" w14:textId="77777777" w:rsidR="00004579" w:rsidRPr="00B3562A" w:rsidRDefault="00004579" w:rsidP="00004579">
      <w:pPr>
        <w:pStyle w:val="Default"/>
        <w:spacing w:after="120" w:line="252" w:lineRule="auto"/>
        <w:jc w:val="both"/>
        <w:rPr>
          <w:rFonts w:asciiTheme="minorHAnsi" w:hAnsiTheme="minorHAnsi" w:cstheme="minorHAnsi"/>
          <w:color w:val="auto"/>
        </w:rPr>
      </w:pPr>
    </w:p>
    <w:p w14:paraId="2999A3CA" w14:textId="515F1947"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 xml:space="preserve">Všechny úkony spojené se změnou konfigurace sítě a správy sítě se budou provádět pouze v datových rozvaděčích, umístěných v předepsaných a schválených místnostech. Zde jsou </w:t>
      </w:r>
      <w:proofErr w:type="spellStart"/>
      <w:r w:rsidRPr="00004579">
        <w:rPr>
          <w:rFonts w:cs="Arial"/>
          <w:bCs/>
          <w:color w:val="000000"/>
        </w:rPr>
        <w:t>čtyřpárové</w:t>
      </w:r>
      <w:proofErr w:type="spellEnd"/>
      <w:r w:rsidRPr="00004579">
        <w:rPr>
          <w:rFonts w:cs="Arial"/>
          <w:bCs/>
          <w:color w:val="000000"/>
        </w:rPr>
        <w:t xml:space="preserve"> kabely UTP. Na panelu je každý vývod označen štítkem s označením vývodu datové zásuvky, který napojuje, a barevným štítkem, který odpovídá barvě štítku na zásuvce. Pro propojování na CT panelu budou použity propojovací kabely ukončené na obou koncích konektory RJ45. </w:t>
      </w:r>
    </w:p>
    <w:p w14:paraId="062D4332" w14:textId="77777777" w:rsidR="00004579" w:rsidRPr="00004579" w:rsidRDefault="00004579" w:rsidP="00276AFE">
      <w:pPr>
        <w:numPr>
          <w:ilvl w:val="1"/>
          <w:numId w:val="19"/>
        </w:numPr>
        <w:spacing w:after="120" w:line="252" w:lineRule="auto"/>
        <w:ind w:left="426" w:hanging="426"/>
        <w:jc w:val="both"/>
        <w:rPr>
          <w:rFonts w:cs="Arial"/>
          <w:bCs/>
          <w:color w:val="000000"/>
        </w:rPr>
      </w:pPr>
      <w:r w:rsidRPr="00004579">
        <w:rPr>
          <w:rFonts w:cs="Arial"/>
          <w:bCs/>
          <w:color w:val="000000"/>
        </w:rPr>
        <w:t xml:space="preserve">Uspořádání síťových komponentů v datových rozvaděčích jsou na výkresech čelních pohledů na datové rozvaděče, kterých je součástí projektové dokumentace skutečného provedení. </w:t>
      </w:r>
    </w:p>
    <w:p w14:paraId="11777B3B" w14:textId="77777777" w:rsidR="00004579" w:rsidRPr="00B3562A" w:rsidRDefault="00004579" w:rsidP="00276AFE">
      <w:pPr>
        <w:pStyle w:val="Default"/>
        <w:spacing w:after="120" w:line="252" w:lineRule="auto"/>
        <w:ind w:firstLine="426"/>
        <w:jc w:val="both"/>
        <w:rPr>
          <w:rFonts w:asciiTheme="minorHAnsi" w:hAnsiTheme="minorHAnsi" w:cstheme="minorHAnsi"/>
          <w:color w:val="auto"/>
          <w:sz w:val="20"/>
          <w:szCs w:val="20"/>
        </w:rPr>
      </w:pPr>
      <w:r w:rsidRPr="00B3562A">
        <w:rPr>
          <w:rFonts w:asciiTheme="minorHAnsi" w:hAnsiTheme="minorHAnsi" w:cstheme="minorHAnsi"/>
          <w:color w:val="auto"/>
          <w:sz w:val="20"/>
          <w:szCs w:val="20"/>
        </w:rPr>
        <w:t xml:space="preserve">Označování datových rozvaděčů: </w:t>
      </w:r>
    </w:p>
    <w:p w14:paraId="2FBF4467" w14:textId="77777777" w:rsidR="00004579" w:rsidRDefault="00004579" w:rsidP="00004579">
      <w:pPr>
        <w:pStyle w:val="Default"/>
        <w:spacing w:after="120" w:line="252" w:lineRule="auto"/>
        <w:jc w:val="both"/>
        <w:rPr>
          <w:rFonts w:asciiTheme="minorHAnsi" w:hAnsiTheme="minorHAnsi" w:cstheme="minorHAnsi"/>
          <w:color w:val="auto"/>
          <w:sz w:val="20"/>
          <w:szCs w:val="20"/>
        </w:rPr>
      </w:pPr>
    </w:p>
    <w:p w14:paraId="57AFDF36" w14:textId="0947CC70"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Pr>
          <w:noProof/>
        </w:rPr>
        <w:drawing>
          <wp:inline distT="0" distB="0" distL="0" distR="0" wp14:anchorId="199165C2" wp14:editId="79F973A7">
            <wp:extent cx="2709541" cy="716505"/>
            <wp:effectExtent l="0" t="0" r="0" b="7620"/>
            <wp:docPr id="9173007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300780" name=""/>
                    <pic:cNvPicPr/>
                  </pic:nvPicPr>
                  <pic:blipFill>
                    <a:blip r:embed="rId11"/>
                    <a:stretch>
                      <a:fillRect/>
                    </a:stretch>
                  </pic:blipFill>
                  <pic:spPr>
                    <a:xfrm>
                      <a:off x="0" y="0"/>
                      <a:ext cx="2719335" cy="719095"/>
                    </a:xfrm>
                    <a:prstGeom prst="rect">
                      <a:avLst/>
                    </a:prstGeom>
                  </pic:spPr>
                </pic:pic>
              </a:graphicData>
            </a:graphic>
          </wp:inline>
        </w:drawing>
      </w:r>
    </w:p>
    <w:p w14:paraId="10E21E73" w14:textId="77777777" w:rsidR="00004579" w:rsidRPr="00004579" w:rsidRDefault="00004579" w:rsidP="00004579">
      <w:pPr>
        <w:pStyle w:val="Default"/>
        <w:spacing w:after="120" w:line="252" w:lineRule="auto"/>
        <w:jc w:val="both"/>
        <w:rPr>
          <w:rFonts w:asciiTheme="minorHAnsi" w:hAnsiTheme="minorHAnsi" w:cstheme="minorHAnsi"/>
          <w:sz w:val="22"/>
          <w:szCs w:val="22"/>
        </w:rPr>
      </w:pPr>
    </w:p>
    <w:p w14:paraId="6846F348" w14:textId="211B771F" w:rsidR="00E15D9A" w:rsidRPr="00E15D9A" w:rsidRDefault="00E15D9A" w:rsidP="00E15D9A">
      <w:pPr>
        <w:pStyle w:val="Default"/>
        <w:numPr>
          <w:ilvl w:val="0"/>
          <w:numId w:val="17"/>
        </w:numPr>
        <w:spacing w:after="120" w:line="252" w:lineRule="auto"/>
        <w:jc w:val="both"/>
        <w:rPr>
          <w:rFonts w:asciiTheme="minorHAnsi" w:hAnsiTheme="minorHAnsi" w:cstheme="minorHAnsi"/>
          <w:b/>
          <w:bCs/>
        </w:rPr>
      </w:pPr>
      <w:r w:rsidRPr="00E15D9A">
        <w:rPr>
          <w:rFonts w:asciiTheme="minorHAnsi" w:hAnsiTheme="minorHAnsi" w:cstheme="minorHAnsi"/>
          <w:b/>
          <w:bCs/>
        </w:rPr>
        <w:t>Pracovní postupy</w:t>
      </w:r>
    </w:p>
    <w:p w14:paraId="2025D7DE" w14:textId="4DEDE47D" w:rsidR="00E15D9A" w:rsidRPr="00E15D9A" w:rsidRDefault="00E15D9A" w:rsidP="00E15D9A">
      <w:pPr>
        <w:pStyle w:val="Default"/>
        <w:spacing w:after="120" w:line="252" w:lineRule="auto"/>
        <w:jc w:val="both"/>
        <w:rPr>
          <w:rFonts w:asciiTheme="minorHAnsi" w:hAnsiTheme="minorHAnsi" w:cstheme="minorHAnsi"/>
          <w:sz w:val="22"/>
          <w:szCs w:val="22"/>
        </w:rPr>
      </w:pPr>
      <w:r>
        <w:rPr>
          <w:rFonts w:asciiTheme="minorHAnsi" w:hAnsiTheme="minorHAnsi" w:cstheme="minorHAnsi"/>
          <w:sz w:val="22"/>
          <w:szCs w:val="22"/>
        </w:rPr>
        <w:t>P</w:t>
      </w:r>
      <w:r w:rsidRPr="00E15D9A">
        <w:rPr>
          <w:rFonts w:asciiTheme="minorHAnsi" w:hAnsiTheme="minorHAnsi" w:cstheme="minorHAnsi"/>
          <w:sz w:val="22"/>
          <w:szCs w:val="22"/>
        </w:rPr>
        <w:t xml:space="preserve">rojekční, realizační a montážní práce prováděné v rámci rozšíření stávajícího univerzálního kabelového systému (UKS) a datového rozvaděče (RACK) musí </w:t>
      </w:r>
      <w:r>
        <w:rPr>
          <w:rFonts w:asciiTheme="minorHAnsi" w:hAnsiTheme="minorHAnsi" w:cstheme="minorHAnsi"/>
          <w:sz w:val="22"/>
          <w:szCs w:val="22"/>
        </w:rPr>
        <w:t xml:space="preserve">respektovat a </w:t>
      </w:r>
      <w:r w:rsidRPr="00E15D9A">
        <w:rPr>
          <w:rFonts w:asciiTheme="minorHAnsi" w:hAnsiTheme="minorHAnsi" w:cstheme="minorHAnsi"/>
          <w:sz w:val="22"/>
          <w:szCs w:val="22"/>
        </w:rPr>
        <w:t xml:space="preserve">splňovat níže uvedené </w:t>
      </w:r>
      <w:r>
        <w:rPr>
          <w:rFonts w:asciiTheme="minorHAnsi" w:hAnsiTheme="minorHAnsi" w:cstheme="minorHAnsi"/>
          <w:sz w:val="22"/>
          <w:szCs w:val="22"/>
        </w:rPr>
        <w:t xml:space="preserve">požadavky na dodržování </w:t>
      </w:r>
      <w:r w:rsidRPr="00E15D9A">
        <w:rPr>
          <w:rFonts w:asciiTheme="minorHAnsi" w:hAnsiTheme="minorHAnsi" w:cstheme="minorHAnsi"/>
          <w:sz w:val="22"/>
          <w:szCs w:val="22"/>
        </w:rPr>
        <w:t>pracovní</w:t>
      </w:r>
      <w:r>
        <w:rPr>
          <w:rFonts w:asciiTheme="minorHAnsi" w:hAnsiTheme="minorHAnsi" w:cstheme="minorHAnsi"/>
          <w:sz w:val="22"/>
          <w:szCs w:val="22"/>
        </w:rPr>
        <w:t>ch</w:t>
      </w:r>
      <w:r w:rsidRPr="00E15D9A">
        <w:rPr>
          <w:rFonts w:asciiTheme="minorHAnsi" w:hAnsiTheme="minorHAnsi" w:cstheme="minorHAnsi"/>
          <w:sz w:val="22"/>
          <w:szCs w:val="22"/>
        </w:rPr>
        <w:t xml:space="preserve"> postup</w:t>
      </w:r>
      <w:r>
        <w:rPr>
          <w:rFonts w:asciiTheme="minorHAnsi" w:hAnsiTheme="minorHAnsi" w:cstheme="minorHAnsi"/>
          <w:sz w:val="22"/>
          <w:szCs w:val="22"/>
        </w:rPr>
        <w:t>ů a pravidel:</w:t>
      </w:r>
    </w:p>
    <w:p w14:paraId="4AD96837" w14:textId="77777777" w:rsidR="00B3562A" w:rsidRPr="00B3562A" w:rsidRDefault="00B3562A" w:rsidP="00036000">
      <w:pPr>
        <w:pStyle w:val="Default"/>
        <w:spacing w:after="120" w:line="252" w:lineRule="auto"/>
        <w:jc w:val="both"/>
        <w:rPr>
          <w:rFonts w:asciiTheme="minorHAnsi" w:hAnsiTheme="minorHAnsi" w:cstheme="minorHAnsi"/>
          <w:sz w:val="20"/>
          <w:szCs w:val="20"/>
        </w:rPr>
      </w:pPr>
    </w:p>
    <w:p w14:paraId="6C7C739F" w14:textId="553E1FB0" w:rsidR="00E15D9A" w:rsidRPr="00E15D9A" w:rsidRDefault="00E15D9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Vybraný </w:t>
      </w:r>
      <w:r w:rsidR="0099474E">
        <w:rPr>
          <w:rFonts w:cs="Arial"/>
          <w:bCs/>
          <w:color w:val="000000"/>
        </w:rPr>
        <w:t>Z</w:t>
      </w:r>
      <w:r w:rsidR="00972B84">
        <w:rPr>
          <w:rFonts w:cs="Arial"/>
          <w:bCs/>
          <w:color w:val="000000"/>
        </w:rPr>
        <w:t>hotovitel</w:t>
      </w:r>
      <w:r w:rsidRPr="00E15D9A">
        <w:rPr>
          <w:rFonts w:cs="Arial"/>
          <w:bCs/>
          <w:color w:val="000000"/>
        </w:rPr>
        <w:t xml:space="preserve">, je povinen v rámci realizačních prací plně spolupracovat s ICT úsekem infrastruktury od přípravných prací až po konečné předání projektové dokumentace skutečného stavu vč. měřících protokolů. </w:t>
      </w:r>
    </w:p>
    <w:p w14:paraId="4FED7992" w14:textId="60EBE3EC"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Před zahájením projekčních prací, je nutné předem kontaktovat ICT úsek infrastruktury a konzultovat s ním veškeré požadavky vyplývající ze zadání </w:t>
      </w:r>
      <w:r w:rsidR="00E15D9A">
        <w:rPr>
          <w:rFonts w:cs="Arial"/>
          <w:bCs/>
          <w:color w:val="000000"/>
        </w:rPr>
        <w:t>O</w:t>
      </w:r>
      <w:r w:rsidRPr="00E15D9A">
        <w:rPr>
          <w:rFonts w:cs="Arial"/>
          <w:bCs/>
          <w:color w:val="000000"/>
        </w:rPr>
        <w:t>bjednatele.</w:t>
      </w:r>
    </w:p>
    <w:p w14:paraId="7BA97FF5" w14:textId="67A7DDAD"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Po zpracování a vyhotovení jakéhokoliv stupně projektové dokumentace vyplývající ze zadání objednatele, je nutné před předáním, předat k vyjádření na ICT úseku infrastruktury. </w:t>
      </w:r>
    </w:p>
    <w:p w14:paraId="55715FAD" w14:textId="3DE01C06"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Oddělení úseku infrastruktury se vyjádří ke zpracované projektové dokumentaci v zájmu společnosti a v rámci zachování jednotnosti a systémovosti daného systému UKS, který je v prostorách zahrnující projektovou část již nainstalován. Projektová dokumentace bude obsahovat výkresovou a textovou část vč. úplných výkazů výměr a bude rozdělena na editovatelnou a needitovatelnou část. Projektová dokumentace bude předaná ve standardních formátech </w:t>
      </w:r>
      <w:proofErr w:type="spellStart"/>
      <w:r w:rsidRPr="00E15D9A">
        <w:rPr>
          <w:rFonts w:cs="Arial"/>
          <w:bCs/>
          <w:color w:val="000000"/>
        </w:rPr>
        <w:t>dwg</w:t>
      </w:r>
      <w:proofErr w:type="spellEnd"/>
      <w:r w:rsidRPr="00E15D9A">
        <w:rPr>
          <w:rFonts w:cs="Arial"/>
          <w:bCs/>
          <w:color w:val="000000"/>
        </w:rPr>
        <w:t xml:space="preserve">, </w:t>
      </w:r>
      <w:proofErr w:type="spellStart"/>
      <w:r w:rsidRPr="00E15D9A">
        <w:rPr>
          <w:rFonts w:cs="Arial"/>
          <w:bCs/>
          <w:color w:val="000000"/>
        </w:rPr>
        <w:t>pdf</w:t>
      </w:r>
      <w:proofErr w:type="spellEnd"/>
      <w:r w:rsidRPr="00E15D9A">
        <w:rPr>
          <w:rFonts w:cs="Arial"/>
          <w:bCs/>
          <w:color w:val="000000"/>
        </w:rPr>
        <w:t xml:space="preserve">, doc, </w:t>
      </w:r>
      <w:proofErr w:type="spellStart"/>
      <w:r w:rsidRPr="00E15D9A">
        <w:rPr>
          <w:rFonts w:cs="Arial"/>
          <w:bCs/>
          <w:color w:val="000000"/>
        </w:rPr>
        <w:t>xls</w:t>
      </w:r>
      <w:proofErr w:type="spellEnd"/>
      <w:r w:rsidRPr="00E15D9A">
        <w:rPr>
          <w:rFonts w:cs="Arial"/>
          <w:bCs/>
          <w:color w:val="000000"/>
        </w:rPr>
        <w:t xml:space="preserve">. Případně další použitelné formáty budou konzultovány s ICT úsekem infrastruktury. </w:t>
      </w:r>
    </w:p>
    <w:p w14:paraId="2FFA967D" w14:textId="786304DC"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Před zahájením instalačních prací je </w:t>
      </w:r>
      <w:r w:rsidR="00E15D9A">
        <w:rPr>
          <w:rFonts w:cs="Arial"/>
          <w:bCs/>
          <w:color w:val="000000"/>
        </w:rPr>
        <w:t xml:space="preserve">Zhotovitel </w:t>
      </w:r>
      <w:r w:rsidR="004703EC" w:rsidRPr="00E15D9A">
        <w:rPr>
          <w:rFonts w:cs="Arial"/>
          <w:bCs/>
          <w:color w:val="000000"/>
        </w:rPr>
        <w:t>povine</w:t>
      </w:r>
      <w:r w:rsidR="004703EC">
        <w:rPr>
          <w:rFonts w:cs="Arial"/>
          <w:bCs/>
          <w:color w:val="000000"/>
        </w:rPr>
        <w:t>n</w:t>
      </w:r>
      <w:r w:rsidRPr="00E15D9A">
        <w:rPr>
          <w:rFonts w:cs="Arial"/>
          <w:bCs/>
          <w:color w:val="000000"/>
        </w:rPr>
        <w:t xml:space="preserve"> předložit plán případných změn oproti předané projektové dokumentaci, katalogové listy od dodávaných komponentů a předložit formulář o kalibraci měřicího přístroje. </w:t>
      </w:r>
    </w:p>
    <w:p w14:paraId="3B6C2886" w14:textId="23EAAFB9"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lastRenderedPageBreak/>
        <w:t xml:space="preserve">Při montážních práci v datovém rozvaděči, musí instalační firma dbát zvýšené ostražitosti a nesmí nikterak omezit provoz způsobený odpojením nebo poškozením stávajících zařízení vč. kabelových propojení. </w:t>
      </w:r>
    </w:p>
    <w:p w14:paraId="0FF8F4D2" w14:textId="2B6C64BB" w:rsidR="00B3562A" w:rsidRPr="00E15D9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 xml:space="preserve">Při montáži nových datových zásuvek musí instalační firma plně respektovat stávající použitelné komponenty a musí dodat takové, které budou barevně a kvalitou na stejné úrovni nebo vyšší. Nová kabeláž, která bude instalovaná do stávajících kabelových tras, musí být před ukončením montáže vizuálně zkontrolovaná a její správnost odsouhlasena zástupcem zadavatele. Nová kabeláž zatahovaná do stávajících datových rozvaděčů musí být systémově přichycena a vyvázána. </w:t>
      </w:r>
    </w:p>
    <w:p w14:paraId="0CE95CC5" w14:textId="17567E90" w:rsidR="00B3562A" w:rsidRDefault="00B3562A" w:rsidP="00276AFE">
      <w:pPr>
        <w:numPr>
          <w:ilvl w:val="1"/>
          <w:numId w:val="18"/>
        </w:numPr>
        <w:spacing w:after="120" w:line="252" w:lineRule="auto"/>
        <w:ind w:left="426" w:hanging="426"/>
        <w:jc w:val="both"/>
        <w:rPr>
          <w:rFonts w:cs="Arial"/>
          <w:bCs/>
          <w:color w:val="000000"/>
        </w:rPr>
      </w:pPr>
      <w:r w:rsidRPr="00E15D9A">
        <w:rPr>
          <w:rFonts w:cs="Arial"/>
          <w:bCs/>
          <w:color w:val="000000"/>
        </w:rPr>
        <w:t>Při montáži nových datových rozvodů do datového rozvaděče (RACK) musí instalační firma plně respektovat stávající použitelné komponenty. V případě nově instalovaných patch panelů, či vkládání nových konektorů RJ45 do stávajících patch panelů, musí být zachován stávající standard, tzn. používat stejné patch panely vč. příslušných konektorů RJ45, jako jsou používány doposud. Pokud není dáno jinak po konzultaci s kontaktní osobou za objednatele viz níže.</w:t>
      </w:r>
    </w:p>
    <w:p w14:paraId="6E40B9C0" w14:textId="4FE8C909" w:rsidR="00004579" w:rsidRPr="00004579" w:rsidRDefault="00004579" w:rsidP="00276AFE">
      <w:pPr>
        <w:numPr>
          <w:ilvl w:val="1"/>
          <w:numId w:val="18"/>
        </w:numPr>
        <w:spacing w:after="120" w:line="252" w:lineRule="auto"/>
        <w:ind w:left="426" w:hanging="426"/>
        <w:jc w:val="both"/>
        <w:rPr>
          <w:rFonts w:cs="Arial"/>
          <w:bCs/>
          <w:color w:val="000000"/>
        </w:rPr>
      </w:pPr>
      <w:r w:rsidRPr="00004579">
        <w:rPr>
          <w:rFonts w:cs="Arial"/>
          <w:bCs/>
          <w:color w:val="000000"/>
        </w:rPr>
        <w:t xml:space="preserve">Pokud je prováděna v technické místnosti s datovými rozvaděči jakákoli práce způsobující v ovzduší nečistoty, musí být učiněno tak, aby nedocházelo k jejich šíření (musí být zajištěna bezprašnost prostředí). </w:t>
      </w:r>
    </w:p>
    <w:p w14:paraId="015B6FA6" w14:textId="72C19906" w:rsidR="00004579" w:rsidRDefault="00004579" w:rsidP="00276AFE">
      <w:pPr>
        <w:numPr>
          <w:ilvl w:val="1"/>
          <w:numId w:val="18"/>
        </w:numPr>
        <w:tabs>
          <w:tab w:val="left" w:pos="426"/>
        </w:tabs>
        <w:spacing w:after="120" w:line="252" w:lineRule="auto"/>
        <w:ind w:left="426" w:hanging="426"/>
        <w:jc w:val="both"/>
        <w:rPr>
          <w:rFonts w:cs="Arial"/>
          <w:bCs/>
          <w:color w:val="000000"/>
        </w:rPr>
      </w:pPr>
      <w:r w:rsidRPr="00004579">
        <w:rPr>
          <w:rFonts w:cs="Arial"/>
          <w:bCs/>
          <w:color w:val="000000"/>
        </w:rPr>
        <w:t xml:space="preserve">Po dokončení </w:t>
      </w:r>
      <w:r>
        <w:rPr>
          <w:rFonts w:cs="Arial"/>
          <w:bCs/>
          <w:color w:val="000000"/>
        </w:rPr>
        <w:t xml:space="preserve">i dílčích </w:t>
      </w:r>
      <w:r w:rsidRPr="00004579">
        <w:rPr>
          <w:rFonts w:cs="Arial"/>
          <w:bCs/>
          <w:color w:val="000000"/>
        </w:rPr>
        <w:t xml:space="preserve">prací, nesmí zůstat v místnosti nepořádek a datový rozvaděč a jeho okolí musí být zhotovitelem po úkonu řádně uklizeno. V opačném případě nebude dílo převzato. </w:t>
      </w:r>
    </w:p>
    <w:p w14:paraId="4FB189D0" w14:textId="6AB6E136" w:rsidR="00004579" w:rsidRPr="00004579" w:rsidRDefault="00004579" w:rsidP="00276AFE">
      <w:pPr>
        <w:numPr>
          <w:ilvl w:val="1"/>
          <w:numId w:val="18"/>
        </w:numPr>
        <w:tabs>
          <w:tab w:val="left" w:pos="426"/>
        </w:tabs>
        <w:spacing w:after="120" w:line="252" w:lineRule="auto"/>
        <w:ind w:left="426" w:hanging="426"/>
        <w:jc w:val="both"/>
        <w:rPr>
          <w:rFonts w:cs="Arial"/>
          <w:bCs/>
          <w:color w:val="000000"/>
        </w:rPr>
      </w:pPr>
      <w:r w:rsidRPr="00004579">
        <w:rPr>
          <w:rFonts w:cs="Arial"/>
          <w:bCs/>
          <w:color w:val="000000"/>
        </w:rPr>
        <w:t xml:space="preserve">Prováděcí firma je povinna po ukončení všech montážních činností provést finální závěrečný úklid, předat zpět veškeré zapůjčené materiály a předat projekt skutečného stavu v datové i papírové formě v předepsaných formátech vč. certifikovaného měřícího protokolu. </w:t>
      </w:r>
    </w:p>
    <w:p w14:paraId="089D9F4E" w14:textId="7D0770A6" w:rsidR="00004579" w:rsidRPr="00004579" w:rsidRDefault="00004579" w:rsidP="00276AFE">
      <w:pPr>
        <w:numPr>
          <w:ilvl w:val="1"/>
          <w:numId w:val="18"/>
        </w:numPr>
        <w:tabs>
          <w:tab w:val="left" w:pos="426"/>
        </w:tabs>
        <w:spacing w:after="120" w:line="252" w:lineRule="auto"/>
        <w:ind w:left="426" w:hanging="426"/>
        <w:jc w:val="both"/>
        <w:rPr>
          <w:rFonts w:cs="Arial"/>
          <w:bCs/>
          <w:color w:val="000000"/>
        </w:rPr>
      </w:pPr>
      <w:r w:rsidRPr="00004579">
        <w:rPr>
          <w:rFonts w:cs="Arial"/>
          <w:bCs/>
          <w:color w:val="000000"/>
        </w:rPr>
        <w:t xml:space="preserve">Po provedené montáži musí instalační firma provést měření datových vývodů, ze kterého musí sestavit a předložit certifikovaný měřící protokol. </w:t>
      </w:r>
    </w:p>
    <w:p w14:paraId="5B908B1E" w14:textId="77777777" w:rsidR="00276AFE" w:rsidRPr="00276AFE" w:rsidRDefault="00004579" w:rsidP="00276AFE">
      <w:pPr>
        <w:numPr>
          <w:ilvl w:val="1"/>
          <w:numId w:val="18"/>
        </w:numPr>
        <w:tabs>
          <w:tab w:val="left" w:pos="426"/>
        </w:tabs>
        <w:spacing w:after="480" w:line="252" w:lineRule="auto"/>
        <w:ind w:left="425" w:hanging="425"/>
        <w:jc w:val="both"/>
        <w:rPr>
          <w:rFonts w:cs="Arial"/>
          <w:bCs/>
          <w:color w:val="000000"/>
        </w:rPr>
      </w:pPr>
      <w:r w:rsidRPr="00004579">
        <w:rPr>
          <w:rFonts w:cs="Arial"/>
          <w:bCs/>
          <w:color w:val="000000"/>
        </w:rPr>
        <w:t xml:space="preserve">Pokud je v rámci projektu řešena zcela nová datová rozvodna, je třeba počítat i s dalším rozšířením. Tedy rozměry místnosti dle místa (budovy) minimálně možnost instalace dvou racků. Případně vždy možnost přidání jednoho dalšího racku. </w:t>
      </w:r>
    </w:p>
    <w:p w14:paraId="0043B831" w14:textId="4ADF6055" w:rsidR="00E15D9A" w:rsidRPr="00CC24E0" w:rsidRDefault="00276AFE" w:rsidP="00276AFE">
      <w:pPr>
        <w:tabs>
          <w:tab w:val="left" w:pos="426"/>
          <w:tab w:val="left" w:pos="709"/>
        </w:tabs>
        <w:spacing w:after="120" w:line="252" w:lineRule="auto"/>
        <w:jc w:val="both"/>
        <w:rPr>
          <w:rFonts w:cs="Arial"/>
          <w:bCs/>
          <w:color w:val="000000"/>
          <w:sz w:val="24"/>
          <w:szCs w:val="24"/>
        </w:rPr>
      </w:pPr>
      <w:r w:rsidRPr="00CC24E0">
        <w:rPr>
          <w:rFonts w:cstheme="minorHAnsi"/>
          <w:b/>
          <w:bCs/>
          <w:sz w:val="24"/>
          <w:szCs w:val="24"/>
        </w:rPr>
        <w:t xml:space="preserve">IV. </w:t>
      </w:r>
      <w:r w:rsidRPr="00CC24E0">
        <w:rPr>
          <w:rFonts w:cstheme="minorHAnsi"/>
          <w:b/>
          <w:bCs/>
          <w:sz w:val="24"/>
          <w:szCs w:val="24"/>
        </w:rPr>
        <w:tab/>
      </w:r>
      <w:r w:rsidRPr="00CC24E0">
        <w:rPr>
          <w:rFonts w:cstheme="minorHAnsi"/>
          <w:b/>
          <w:bCs/>
          <w:sz w:val="24"/>
          <w:szCs w:val="24"/>
        </w:rPr>
        <w:tab/>
      </w:r>
      <w:r w:rsidR="00E15D9A" w:rsidRPr="00CC24E0">
        <w:rPr>
          <w:rFonts w:cstheme="minorHAnsi"/>
          <w:b/>
          <w:bCs/>
          <w:sz w:val="24"/>
          <w:szCs w:val="24"/>
        </w:rPr>
        <w:t xml:space="preserve">Popis stávajícího stavu </w:t>
      </w:r>
    </w:p>
    <w:p w14:paraId="3C226B0D" w14:textId="4EED26F0" w:rsidR="00B3562A" w:rsidRPr="004703EC" w:rsidRDefault="00B3562A" w:rsidP="00036000">
      <w:pPr>
        <w:pStyle w:val="Default"/>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V areál</w:t>
      </w:r>
      <w:r w:rsidR="00E15D9A" w:rsidRPr="004703EC">
        <w:rPr>
          <w:rFonts w:asciiTheme="minorHAnsi" w:hAnsiTheme="minorHAnsi" w:cstheme="minorHAnsi"/>
          <w:color w:val="auto"/>
          <w:sz w:val="22"/>
          <w:szCs w:val="22"/>
        </w:rPr>
        <w:t>ech</w:t>
      </w:r>
      <w:r w:rsidRPr="004703EC">
        <w:rPr>
          <w:rFonts w:asciiTheme="minorHAnsi" w:hAnsiTheme="minorHAnsi" w:cstheme="minorHAnsi"/>
          <w:color w:val="auto"/>
          <w:sz w:val="22"/>
          <w:szCs w:val="22"/>
        </w:rPr>
        <w:t xml:space="preserve"> Nemocnice Pardubického kraje, a.s. jsou použity </w:t>
      </w:r>
      <w:r w:rsidR="00E15D9A" w:rsidRPr="004703EC">
        <w:rPr>
          <w:rFonts w:asciiTheme="minorHAnsi" w:hAnsiTheme="minorHAnsi" w:cstheme="minorHAnsi"/>
          <w:color w:val="auto"/>
          <w:sz w:val="22"/>
          <w:szCs w:val="22"/>
        </w:rPr>
        <w:t xml:space="preserve">především </w:t>
      </w:r>
      <w:r w:rsidRPr="004703EC">
        <w:rPr>
          <w:rFonts w:asciiTheme="minorHAnsi" w:hAnsiTheme="minorHAnsi" w:cstheme="minorHAnsi"/>
          <w:color w:val="auto"/>
          <w:sz w:val="22"/>
          <w:szCs w:val="22"/>
        </w:rPr>
        <w:t xml:space="preserve">komponenty od firmy </w:t>
      </w:r>
      <w:proofErr w:type="spellStart"/>
      <w:r w:rsidRPr="004703EC">
        <w:rPr>
          <w:rFonts w:asciiTheme="minorHAnsi" w:hAnsiTheme="minorHAnsi" w:cstheme="minorHAnsi"/>
          <w:b/>
          <w:bCs/>
          <w:color w:val="auto"/>
          <w:sz w:val="22"/>
          <w:szCs w:val="22"/>
        </w:rPr>
        <w:t>MODnet</w:t>
      </w:r>
      <w:proofErr w:type="spellEnd"/>
      <w:r w:rsidRPr="004703EC">
        <w:rPr>
          <w:rFonts w:asciiTheme="minorHAnsi" w:hAnsiTheme="minorHAnsi" w:cstheme="minorHAnsi"/>
          <w:color w:val="auto"/>
          <w:sz w:val="22"/>
          <w:szCs w:val="22"/>
        </w:rPr>
        <w:t xml:space="preserve">: </w:t>
      </w:r>
    </w:p>
    <w:p w14:paraId="5CD4CE0A" w14:textId="7685B487"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 xml:space="preserve">Datové rozvody budou provedeny stíněnými kabely, v </w:t>
      </w:r>
      <w:proofErr w:type="spellStart"/>
      <w:r w:rsidRPr="004703EC">
        <w:rPr>
          <w:rFonts w:asciiTheme="minorHAnsi" w:hAnsiTheme="minorHAnsi" w:cstheme="minorHAnsi"/>
          <w:color w:val="auto"/>
          <w:sz w:val="22"/>
          <w:szCs w:val="22"/>
        </w:rPr>
        <w:t>bezhalogenovém</w:t>
      </w:r>
      <w:proofErr w:type="spellEnd"/>
      <w:r w:rsidRPr="004703EC">
        <w:rPr>
          <w:rFonts w:asciiTheme="minorHAnsi" w:hAnsiTheme="minorHAnsi" w:cstheme="minorHAnsi"/>
          <w:color w:val="auto"/>
          <w:sz w:val="22"/>
          <w:szCs w:val="22"/>
        </w:rPr>
        <w:t xml:space="preserve"> provedení vyhovujícím snížené hořlavosti a reakci na oheň dle vyhlášky č.268/2011Sb a dle ČSN EN 50575 v provedení B2ca - s1a, d1, a1. Certifikaci CPR dle EN 60754-2, EN 61034-2 a integrovaný test EN 50399. Instalační kabel min. Cat6A s garancí </w:t>
      </w:r>
      <w:proofErr w:type="spellStart"/>
      <w:r w:rsidRPr="004703EC">
        <w:rPr>
          <w:rFonts w:asciiTheme="minorHAnsi" w:hAnsiTheme="minorHAnsi" w:cstheme="minorHAnsi"/>
          <w:color w:val="auto"/>
          <w:sz w:val="22"/>
          <w:szCs w:val="22"/>
        </w:rPr>
        <w:t>PoE</w:t>
      </w:r>
      <w:proofErr w:type="spellEnd"/>
      <w:r w:rsidRPr="004703EC">
        <w:rPr>
          <w:rFonts w:asciiTheme="minorHAnsi" w:hAnsiTheme="minorHAnsi" w:cstheme="minorHAnsi"/>
          <w:color w:val="auto"/>
          <w:sz w:val="22"/>
          <w:szCs w:val="22"/>
        </w:rPr>
        <w:t xml:space="preserve"> přenosů typ 1-4 (dle IEEE 802.3bt). </w:t>
      </w:r>
    </w:p>
    <w:p w14:paraId="15E7922E" w14:textId="77777777"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proofErr w:type="spellStart"/>
      <w:r w:rsidRPr="004703EC">
        <w:rPr>
          <w:rFonts w:asciiTheme="minorHAnsi" w:hAnsiTheme="minorHAnsi" w:cstheme="minorHAnsi"/>
          <w:color w:val="auto"/>
          <w:sz w:val="22"/>
          <w:szCs w:val="22"/>
        </w:rPr>
        <w:t>PatchPanely</w:t>
      </w:r>
      <w:proofErr w:type="spellEnd"/>
      <w:r w:rsidRPr="004703EC">
        <w:rPr>
          <w:rFonts w:asciiTheme="minorHAnsi" w:hAnsiTheme="minorHAnsi" w:cstheme="minorHAnsi"/>
          <w:color w:val="auto"/>
          <w:sz w:val="22"/>
          <w:szCs w:val="22"/>
        </w:rPr>
        <w:t xml:space="preserve"> (stíněné) – modulární plně osazené </w:t>
      </w:r>
      <w:proofErr w:type="spellStart"/>
      <w:r w:rsidRPr="004703EC">
        <w:rPr>
          <w:rFonts w:asciiTheme="minorHAnsi" w:hAnsiTheme="minorHAnsi" w:cstheme="minorHAnsi"/>
          <w:color w:val="auto"/>
          <w:sz w:val="22"/>
          <w:szCs w:val="22"/>
        </w:rPr>
        <w:t>Keystone</w:t>
      </w:r>
      <w:proofErr w:type="spellEnd"/>
      <w:r w:rsidRPr="004703EC">
        <w:rPr>
          <w:rFonts w:asciiTheme="minorHAnsi" w:hAnsiTheme="minorHAnsi" w:cstheme="minorHAnsi"/>
          <w:color w:val="auto"/>
          <w:sz w:val="22"/>
          <w:szCs w:val="22"/>
        </w:rPr>
        <w:t xml:space="preserve"> -stíněné (tím je myšleno, že jednotlivé </w:t>
      </w:r>
      <w:proofErr w:type="spellStart"/>
      <w:r w:rsidRPr="004703EC">
        <w:rPr>
          <w:rFonts w:asciiTheme="minorHAnsi" w:hAnsiTheme="minorHAnsi" w:cstheme="minorHAnsi"/>
          <w:color w:val="auto"/>
          <w:sz w:val="22"/>
          <w:szCs w:val="22"/>
        </w:rPr>
        <w:t>KeyStone</w:t>
      </w:r>
      <w:proofErr w:type="spellEnd"/>
      <w:r w:rsidRPr="004703EC">
        <w:rPr>
          <w:rFonts w:asciiTheme="minorHAnsi" w:hAnsiTheme="minorHAnsi" w:cstheme="minorHAnsi"/>
          <w:color w:val="auto"/>
          <w:sz w:val="22"/>
          <w:szCs w:val="22"/>
        </w:rPr>
        <w:t xml:space="preserve"> bude možné v případě poruchy vyměnit). Patch panely v provedení MX-PNL-24 až MX-PNL-48 </w:t>
      </w:r>
    </w:p>
    <w:p w14:paraId="4537DE47" w14:textId="280D00E1"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 xml:space="preserve">datové zásuvky v provedení ABB Tango barva bílá </w:t>
      </w:r>
    </w:p>
    <w:p w14:paraId="44D069D1" w14:textId="137E06D1" w:rsidR="00B3562A" w:rsidRPr="00004579" w:rsidRDefault="00B3562A" w:rsidP="0099474E">
      <w:pPr>
        <w:pStyle w:val="Default"/>
        <w:tabs>
          <w:tab w:val="left" w:pos="709"/>
        </w:tabs>
        <w:spacing w:after="120" w:line="252" w:lineRule="auto"/>
        <w:jc w:val="both"/>
        <w:rPr>
          <w:rFonts w:asciiTheme="minorHAnsi" w:hAnsiTheme="minorHAnsi" w:cstheme="minorHAnsi"/>
          <w:b/>
          <w:bCs/>
          <w:color w:val="auto"/>
          <w:sz w:val="22"/>
          <w:szCs w:val="22"/>
        </w:rPr>
      </w:pPr>
    </w:p>
    <w:sectPr w:rsidR="00B3562A" w:rsidRPr="00004579" w:rsidSect="006F7189">
      <w:headerReference w:type="default" r:id="rId12"/>
      <w:footerReference w:type="default" r:id="rId13"/>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CCEDD" w14:textId="77777777" w:rsidR="008C70E1" w:rsidRDefault="008C70E1" w:rsidP="00276AFE">
      <w:pPr>
        <w:spacing w:after="0" w:line="240" w:lineRule="auto"/>
      </w:pPr>
      <w:r>
        <w:separator/>
      </w:r>
    </w:p>
  </w:endnote>
  <w:endnote w:type="continuationSeparator" w:id="0">
    <w:p w14:paraId="0EEDF2BA" w14:textId="77777777" w:rsidR="008C70E1" w:rsidRDefault="008C70E1" w:rsidP="00276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9367401"/>
      <w:docPartObj>
        <w:docPartGallery w:val="Page Numbers (Bottom of Page)"/>
        <w:docPartUnique/>
      </w:docPartObj>
    </w:sdtPr>
    <w:sdtEndPr/>
    <w:sdtContent>
      <w:p w14:paraId="3C0A7EF9" w14:textId="3241E478" w:rsidR="00276AFE" w:rsidRDefault="00276AFE">
        <w:pPr>
          <w:pStyle w:val="Zpat"/>
          <w:jc w:val="right"/>
        </w:pPr>
        <w:r>
          <w:fldChar w:fldCharType="begin"/>
        </w:r>
        <w:r>
          <w:instrText>PAGE   \* MERGEFORMAT</w:instrText>
        </w:r>
        <w:r>
          <w:fldChar w:fldCharType="separate"/>
        </w:r>
        <w:r>
          <w:t>2</w:t>
        </w:r>
        <w:r>
          <w:fldChar w:fldCharType="end"/>
        </w:r>
      </w:p>
    </w:sdtContent>
  </w:sdt>
  <w:p w14:paraId="43A214DA" w14:textId="77777777" w:rsidR="00276AFE" w:rsidRDefault="00276A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050F5" w14:textId="77777777" w:rsidR="008C70E1" w:rsidRDefault="008C70E1" w:rsidP="00276AFE">
      <w:pPr>
        <w:spacing w:after="0" w:line="240" w:lineRule="auto"/>
      </w:pPr>
      <w:r>
        <w:separator/>
      </w:r>
    </w:p>
  </w:footnote>
  <w:footnote w:type="continuationSeparator" w:id="0">
    <w:p w14:paraId="6BABDB00" w14:textId="77777777" w:rsidR="008C70E1" w:rsidRDefault="008C70E1" w:rsidP="00276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986C" w14:textId="77435530" w:rsidR="00276AFE" w:rsidRDefault="00276AFE">
    <w:pPr>
      <w:pStyle w:val="Zhlav"/>
    </w:pPr>
    <w:r>
      <w:rPr>
        <w:noProof/>
      </w:rPr>
      <w:drawing>
        <wp:anchor distT="0" distB="0" distL="114300" distR="114300" simplePos="0" relativeHeight="251659264" behindDoc="0" locked="0" layoutInCell="1" allowOverlap="0" wp14:anchorId="6D281808" wp14:editId="12259796">
          <wp:simplePos x="0" y="0"/>
          <wp:positionH relativeFrom="margin">
            <wp:posOffset>4004114</wp:posOffset>
          </wp:positionH>
          <wp:positionV relativeFrom="page">
            <wp:posOffset>185908</wp:posOffset>
          </wp:positionV>
          <wp:extent cx="2127600" cy="561600"/>
          <wp:effectExtent l="0" t="0" r="6350" b="0"/>
          <wp:wrapSquare wrapText="bothSides"/>
          <wp:docPr id="1234266663"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1276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D1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FC3B92"/>
    <w:multiLevelType w:val="multilevel"/>
    <w:tmpl w:val="DEB8F90C"/>
    <w:lvl w:ilvl="0">
      <w:start w:val="1"/>
      <w:numFmt w:val="lowerLetter"/>
      <w:lvlText w:val="%1)"/>
      <w:lvlJc w:val="left"/>
      <w:pPr>
        <w:ind w:left="786" w:hanging="36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2" w15:restartNumberingAfterBreak="0">
    <w:nsid w:val="10AD6238"/>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5D60E2"/>
    <w:multiLevelType w:val="hybridMultilevel"/>
    <w:tmpl w:val="F32C8C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A655F9"/>
    <w:multiLevelType w:val="hybridMultilevel"/>
    <w:tmpl w:val="0218CA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3217C4"/>
    <w:multiLevelType w:val="hybridMultilevel"/>
    <w:tmpl w:val="0E04F7A4"/>
    <w:lvl w:ilvl="0" w:tplc="122A2CFC">
      <w:start w:val="2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544433"/>
    <w:multiLevelType w:val="hybridMultilevel"/>
    <w:tmpl w:val="575A9A70"/>
    <w:lvl w:ilvl="0" w:tplc="194AA9B4">
      <w:start w:val="4"/>
      <w:numFmt w:val="bullet"/>
      <w:lvlText w:val="-"/>
      <w:lvlJc w:val="left"/>
      <w:pPr>
        <w:ind w:left="1120" w:hanging="360"/>
      </w:pPr>
      <w:rPr>
        <w:rFonts w:ascii="Arial" w:eastAsia="Calibri" w:hAnsi="Arial" w:cs="Aria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7" w15:restartNumberingAfterBreak="0">
    <w:nsid w:val="21BE26D3"/>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8" w15:restartNumberingAfterBreak="0">
    <w:nsid w:val="248A7BFC"/>
    <w:multiLevelType w:val="hybridMultilevel"/>
    <w:tmpl w:val="87FE86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23413C"/>
    <w:multiLevelType w:val="hybridMultilevel"/>
    <w:tmpl w:val="ACCEE5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211628"/>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1" w15:restartNumberingAfterBreak="0">
    <w:nsid w:val="50CC55D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57C0BB5"/>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5F23C8C"/>
    <w:multiLevelType w:val="hybridMultilevel"/>
    <w:tmpl w:val="516AA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7D7928"/>
    <w:multiLevelType w:val="hybridMultilevel"/>
    <w:tmpl w:val="9F340C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DE6B70"/>
    <w:multiLevelType w:val="hybridMultilevel"/>
    <w:tmpl w:val="F40C3934"/>
    <w:lvl w:ilvl="0" w:tplc="0AF012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6D2FC9"/>
    <w:multiLevelType w:val="hybridMultilevel"/>
    <w:tmpl w:val="1F4AA544"/>
    <w:lvl w:ilvl="0" w:tplc="49B4ECBA">
      <w:start w:val="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181022"/>
    <w:multiLevelType w:val="hybridMultilevel"/>
    <w:tmpl w:val="214CB6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4A11D6"/>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6053762">
    <w:abstractNumId w:val="11"/>
  </w:num>
  <w:num w:numId="2" w16cid:durableId="1595044861">
    <w:abstractNumId w:val="0"/>
  </w:num>
  <w:num w:numId="3" w16cid:durableId="1784498674">
    <w:abstractNumId w:val="5"/>
  </w:num>
  <w:num w:numId="4" w16cid:durableId="1868323890">
    <w:abstractNumId w:val="16"/>
  </w:num>
  <w:num w:numId="5" w16cid:durableId="1389182383">
    <w:abstractNumId w:val="4"/>
  </w:num>
  <w:num w:numId="6" w16cid:durableId="1124277128">
    <w:abstractNumId w:val="13"/>
  </w:num>
  <w:num w:numId="7" w16cid:durableId="832455784">
    <w:abstractNumId w:val="15"/>
  </w:num>
  <w:num w:numId="8" w16cid:durableId="1015494849">
    <w:abstractNumId w:val="3"/>
  </w:num>
  <w:num w:numId="9" w16cid:durableId="382369129">
    <w:abstractNumId w:val="14"/>
  </w:num>
  <w:num w:numId="10" w16cid:durableId="99955582">
    <w:abstractNumId w:val="9"/>
  </w:num>
  <w:num w:numId="11" w16cid:durableId="1303122727">
    <w:abstractNumId w:val="17"/>
  </w:num>
  <w:num w:numId="12" w16cid:durableId="1632588736">
    <w:abstractNumId w:val="2"/>
  </w:num>
  <w:num w:numId="13" w16cid:durableId="999695729">
    <w:abstractNumId w:val="6"/>
  </w:num>
  <w:num w:numId="14" w16cid:durableId="1836724131">
    <w:abstractNumId w:val="1"/>
  </w:num>
  <w:num w:numId="15" w16cid:durableId="811487046">
    <w:abstractNumId w:val="7"/>
  </w:num>
  <w:num w:numId="16" w16cid:durableId="1725324548">
    <w:abstractNumId w:val="10"/>
  </w:num>
  <w:num w:numId="17" w16cid:durableId="1502770281">
    <w:abstractNumId w:val="8"/>
  </w:num>
  <w:num w:numId="18" w16cid:durableId="1056974882">
    <w:abstractNumId w:val="12"/>
  </w:num>
  <w:num w:numId="19" w16cid:durableId="20718783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A"/>
    <w:rsid w:val="00004579"/>
    <w:rsid w:val="00036000"/>
    <w:rsid w:val="00056E2D"/>
    <w:rsid w:val="000663D3"/>
    <w:rsid w:val="000D4148"/>
    <w:rsid w:val="00174357"/>
    <w:rsid w:val="0022040A"/>
    <w:rsid w:val="00276AFE"/>
    <w:rsid w:val="0036046A"/>
    <w:rsid w:val="004703EC"/>
    <w:rsid w:val="005F3314"/>
    <w:rsid w:val="00607B4F"/>
    <w:rsid w:val="006A72A9"/>
    <w:rsid w:val="006F7189"/>
    <w:rsid w:val="00785EF0"/>
    <w:rsid w:val="008C70E1"/>
    <w:rsid w:val="00972B84"/>
    <w:rsid w:val="0099474E"/>
    <w:rsid w:val="00996936"/>
    <w:rsid w:val="009B1D4B"/>
    <w:rsid w:val="00A53EB5"/>
    <w:rsid w:val="00B07389"/>
    <w:rsid w:val="00B3562A"/>
    <w:rsid w:val="00B54003"/>
    <w:rsid w:val="00B73DBD"/>
    <w:rsid w:val="00BC1C27"/>
    <w:rsid w:val="00C32368"/>
    <w:rsid w:val="00CC24E0"/>
    <w:rsid w:val="00D2754A"/>
    <w:rsid w:val="00D6217B"/>
    <w:rsid w:val="00D67EC9"/>
    <w:rsid w:val="00E15D9A"/>
    <w:rsid w:val="00ED6873"/>
    <w:rsid w:val="00F13992"/>
    <w:rsid w:val="00F82704"/>
    <w:rsid w:val="00FB4758"/>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CD4B2"/>
  <w15:chartTrackingRefBased/>
  <w15:docId w15:val="{4BAF7E0B-7855-48D1-A302-8F4778AD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356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3562A"/>
    <w:pPr>
      <w:autoSpaceDE w:val="0"/>
      <w:autoSpaceDN w:val="0"/>
      <w:adjustRightInd w:val="0"/>
      <w:spacing w:after="0" w:line="240" w:lineRule="auto"/>
    </w:pPr>
    <w:rPr>
      <w:rFonts w:ascii="Arial" w:hAnsi="Arial" w:cs="Arial"/>
      <w:color w:val="000000"/>
      <w:kern w:val="0"/>
      <w:sz w:val="24"/>
      <w:szCs w:val="24"/>
    </w:rPr>
  </w:style>
  <w:style w:type="character" w:customStyle="1" w:styleId="Nadpis1Char">
    <w:name w:val="Nadpis 1 Char"/>
    <w:basedOn w:val="Standardnpsmoodstavce"/>
    <w:link w:val="Nadpis1"/>
    <w:uiPriority w:val="9"/>
    <w:rsid w:val="00B3562A"/>
    <w:rPr>
      <w:rFonts w:asciiTheme="majorHAnsi" w:eastAsiaTheme="majorEastAsia" w:hAnsiTheme="majorHAnsi" w:cstheme="majorBidi"/>
      <w:color w:val="2F5496" w:themeColor="accent1" w:themeShade="BF"/>
      <w:sz w:val="32"/>
      <w:szCs w:val="32"/>
    </w:rPr>
  </w:style>
  <w:style w:type="paragraph" w:styleId="Zkladntext">
    <w:name w:val="Body Text"/>
    <w:basedOn w:val="Normln"/>
    <w:link w:val="ZkladntextChar"/>
    <w:rsid w:val="00036000"/>
    <w:pPr>
      <w:spacing w:after="120" w:line="240" w:lineRule="auto"/>
    </w:pPr>
    <w:rPr>
      <w:rFonts w:ascii="Arial" w:eastAsia="Calibri" w:hAnsi="Arial" w:cs="Times New Roman"/>
      <w:kern w:val="0"/>
      <w:sz w:val="20"/>
      <w:szCs w:val="24"/>
      <w:lang w:eastAsia="cs-CZ"/>
      <w14:ligatures w14:val="none"/>
    </w:rPr>
  </w:style>
  <w:style w:type="character" w:customStyle="1" w:styleId="ZkladntextChar">
    <w:name w:val="Základní text Char"/>
    <w:basedOn w:val="Standardnpsmoodstavce"/>
    <w:link w:val="Zkladntext"/>
    <w:rsid w:val="00036000"/>
    <w:rPr>
      <w:rFonts w:ascii="Arial" w:eastAsia="Calibri" w:hAnsi="Arial" w:cs="Times New Roman"/>
      <w:kern w:val="0"/>
      <w:sz w:val="20"/>
      <w:szCs w:val="24"/>
      <w:lang w:eastAsia="cs-CZ"/>
      <w14:ligatures w14:val="none"/>
    </w:rPr>
  </w:style>
  <w:style w:type="paragraph" w:styleId="Odstavecseseznamem">
    <w:name w:val="List Paragraph"/>
    <w:basedOn w:val="Normln"/>
    <w:uiPriority w:val="1"/>
    <w:qFormat/>
    <w:rsid w:val="00036000"/>
    <w:pPr>
      <w:widowControl w:val="0"/>
      <w:autoSpaceDE w:val="0"/>
      <w:autoSpaceDN w:val="0"/>
      <w:spacing w:after="0" w:line="240" w:lineRule="auto"/>
      <w:ind w:left="681"/>
    </w:pPr>
    <w:rPr>
      <w:rFonts w:ascii="Calibri" w:eastAsia="Calibri" w:hAnsi="Calibri" w:cs="Calibri"/>
      <w:kern w:val="0"/>
      <w14:ligatures w14:val="none"/>
    </w:rPr>
  </w:style>
  <w:style w:type="paragraph" w:styleId="Zhlav">
    <w:name w:val="header"/>
    <w:basedOn w:val="Normln"/>
    <w:link w:val="ZhlavChar"/>
    <w:uiPriority w:val="99"/>
    <w:unhideWhenUsed/>
    <w:rsid w:val="00276A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6AFE"/>
  </w:style>
  <w:style w:type="paragraph" w:styleId="Zpat">
    <w:name w:val="footer"/>
    <w:basedOn w:val="Normln"/>
    <w:link w:val="ZpatChar"/>
    <w:uiPriority w:val="99"/>
    <w:unhideWhenUsed/>
    <w:rsid w:val="00276AFE"/>
    <w:pPr>
      <w:tabs>
        <w:tab w:val="center" w:pos="4536"/>
        <w:tab w:val="right" w:pos="9072"/>
      </w:tabs>
      <w:spacing w:after="0" w:line="240" w:lineRule="auto"/>
    </w:pPr>
  </w:style>
  <w:style w:type="character" w:customStyle="1" w:styleId="ZpatChar">
    <w:name w:val="Zápatí Char"/>
    <w:basedOn w:val="Standardnpsmoodstavce"/>
    <w:link w:val="Zpat"/>
    <w:uiPriority w:val="99"/>
    <w:rsid w:val="00276AFE"/>
  </w:style>
  <w:style w:type="character" w:styleId="Odkaznakoment">
    <w:name w:val="annotation reference"/>
    <w:basedOn w:val="Standardnpsmoodstavce"/>
    <w:uiPriority w:val="99"/>
    <w:semiHidden/>
    <w:unhideWhenUsed/>
    <w:rsid w:val="000663D3"/>
    <w:rPr>
      <w:sz w:val="16"/>
      <w:szCs w:val="16"/>
    </w:rPr>
  </w:style>
  <w:style w:type="paragraph" w:styleId="Textkomente">
    <w:name w:val="annotation text"/>
    <w:basedOn w:val="Normln"/>
    <w:link w:val="TextkomenteChar"/>
    <w:uiPriority w:val="99"/>
    <w:unhideWhenUsed/>
    <w:rsid w:val="000663D3"/>
    <w:pPr>
      <w:spacing w:line="240" w:lineRule="auto"/>
    </w:pPr>
    <w:rPr>
      <w:sz w:val="20"/>
      <w:szCs w:val="20"/>
    </w:rPr>
  </w:style>
  <w:style w:type="character" w:customStyle="1" w:styleId="TextkomenteChar">
    <w:name w:val="Text komentáře Char"/>
    <w:basedOn w:val="Standardnpsmoodstavce"/>
    <w:link w:val="Textkomente"/>
    <w:uiPriority w:val="99"/>
    <w:rsid w:val="000663D3"/>
    <w:rPr>
      <w:sz w:val="20"/>
      <w:szCs w:val="20"/>
    </w:rPr>
  </w:style>
  <w:style w:type="paragraph" w:styleId="Pedmtkomente">
    <w:name w:val="annotation subject"/>
    <w:basedOn w:val="Textkomente"/>
    <w:next w:val="Textkomente"/>
    <w:link w:val="PedmtkomenteChar"/>
    <w:uiPriority w:val="99"/>
    <w:semiHidden/>
    <w:unhideWhenUsed/>
    <w:rsid w:val="000663D3"/>
    <w:rPr>
      <w:b/>
      <w:bCs/>
    </w:rPr>
  </w:style>
  <w:style w:type="character" w:customStyle="1" w:styleId="PedmtkomenteChar">
    <w:name w:val="Předmět komentáře Char"/>
    <w:basedOn w:val="TextkomenteChar"/>
    <w:link w:val="Pedmtkomente"/>
    <w:uiPriority w:val="99"/>
    <w:semiHidden/>
    <w:rsid w:val="000663D3"/>
    <w:rPr>
      <w:b/>
      <w:bCs/>
      <w:sz w:val="20"/>
      <w:szCs w:val="20"/>
    </w:rPr>
  </w:style>
  <w:style w:type="paragraph" w:styleId="Revize">
    <w:name w:val="Revision"/>
    <w:hidden/>
    <w:uiPriority w:val="99"/>
    <w:semiHidden/>
    <w:rsid w:val="006F71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395AF1-AA25-4C22-B8A9-932643D33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49269-1C1C-4714-9873-2C9A0C6DF9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1642</Words>
  <Characters>9971</Characters>
  <Application>Microsoft Office Word</Application>
  <DocSecurity>0</DocSecurity>
  <Lines>171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Maršík Martin (PKN-ICT)</dc:creator>
  <cp:keywords/>
  <dc:description/>
  <cp:lastModifiedBy>Čížková Jaroslava (PKN-ZAK)</cp:lastModifiedBy>
  <cp:revision>3</cp:revision>
  <dcterms:created xsi:type="dcterms:W3CDTF">2026-02-10T13:18:00Z</dcterms:created>
  <dcterms:modified xsi:type="dcterms:W3CDTF">2026-02-25T20:53:00Z</dcterms:modified>
</cp:coreProperties>
</file>